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df" ContentType="application/pdf"/>
  <Override PartName="/word/media/rId54.pdf" ContentType="application/pdf"/>
  <Override PartName="/word/media/rId50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Beyond Accuracy: A Multi-Axis Evaluation Framework for</w:t>
      </w:r>
      <w:r>
        <w:t xml:space="preserve"> </w:t>
      </w:r>
      <w:r>
        <w:t xml:space="preserve">Interpretable Topic Models on Hyperspectral Imagery</w:t>
      </w:r>
    </w:p>
    <w:p>
      <w:pPr>
        <w:pStyle w:val="Author"/>
      </w:pPr>
      <w:r>
        <w:t xml:space="preserve">Felipe Santibáñez-Leal , 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2"/>
      </w:r>
    </w:p>
    <w:bookmarkStart w:id="16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imagery (HSI) records pixel-wise</w:t>
      </w:r>
      <w:r>
        <w:t xml:space="preserve"> </w:t>
      </w:r>
      <w:r>
        <w:t xml:space="preserve">reflectance across hundreds of contiguous narrow bands, producing a</w:t>
      </w:r>
      <w:r>
        <w:t xml:space="preserve"> </w:t>
      </w:r>
      <w:r>
        <w:t xml:space="preserve">spectral signature for each spatial location that, in principle,</w:t>
      </w:r>
      <w:r>
        <w:t xml:space="preserve"> </w:t>
      </w:r>
      <w:r>
        <w:t xml:space="preserve">admits material-level discrimination from a single sensor pass</w:t>
      </w:r>
      <w:r>
        <w:t xml:space="preserve"> </w:t>
      </w:r>
      <w:r>
        <w:t xml:space="preserve">(Plaza et al. 2009; Camps-Valls et al. 2014)</w:t>
      </w:r>
      <w:r>
        <w:t xml:space="preserve">. The dominant analysis</w:t>
      </w:r>
      <w:r>
        <w:t xml:space="preserve"> </w:t>
      </w:r>
      <w:r>
        <w:t xml:space="preserve">paradigms on HSI today are</w:t>
      </w:r>
      <w:r>
        <w:t xml:space="preserve"> </w:t>
      </w:r>
      <w:r>
        <w:rPr>
          <w:i/>
          <w:iCs/>
        </w:rPr>
        <w:t xml:space="preserve">linear unmixing</w:t>
      </w:r>
      <w:r>
        <w:t xml:space="preserve">, which decomposes a</w:t>
      </w:r>
      <w:r>
        <w:t xml:space="preserve"> </w:t>
      </w:r>
      <w:r>
        <w:t xml:space="preserve">pixel into a small set of endmembers and their abundances</w:t>
      </w:r>
      <w:r>
        <w:t xml:space="preserve"> </w:t>
      </w:r>
      <w:r>
        <w:t xml:space="preserve">(Nascimento and Bioucas-Dias 2005; Bioucas-Dias et al. 2012)</w:t>
      </w:r>
      <w:r>
        <w:t xml:space="preserve">, and</w:t>
      </w:r>
      <w:r>
        <w:t xml:space="preserve"> </w:t>
      </w:r>
      <w:r>
        <w:rPr>
          <w:i/>
          <w:iCs/>
        </w:rPr>
        <w:t xml:space="preserve">deep</w:t>
      </w:r>
      <w:r>
        <w:rPr>
          <w:i/>
          <w:iCs/>
        </w:rPr>
        <w:t xml:space="preserve"> </w:t>
      </w:r>
      <w:r>
        <w:rPr>
          <w:i/>
          <w:iCs/>
        </w:rPr>
        <w:t xml:space="preserve">spectral–spatial classification</w:t>
      </w:r>
      <w:r>
        <w:t xml:space="preserve">, in which 1-D or 3-D convolutional</w:t>
      </w:r>
      <w:r>
        <w:t xml:space="preserve"> </w:t>
      </w:r>
      <w:r>
        <w:t xml:space="preserve">networks map a pixel and its neighbourhood directly to a class</w:t>
      </w:r>
      <w:r>
        <w:t xml:space="preserve"> </w:t>
      </w:r>
      <w:r>
        <w:t xml:space="preserve">label</w:t>
      </w:r>
      <w:r>
        <w:t xml:space="preserve"> </w:t>
      </w:r>
      <w:r>
        <w:t xml:space="preserve">(Chen et al. 2014; Paoletti et al. 2019)</w:t>
      </w:r>
      <w:r>
        <w:t xml:space="preserve">. Both paradigms have made</w:t>
      </w:r>
      <w:r>
        <w:t xml:space="preserve"> </w:t>
      </w:r>
      <w:r>
        <w:t xml:space="preserve">substantial progress on the canonical labelled benchmarks (Indian</w:t>
      </w:r>
      <w:r>
        <w:t xml:space="preserve"> </w:t>
      </w:r>
      <w:r>
        <w:t xml:space="preserve">Pines, Salinas, Pavia University), and both have well-understood</w:t>
      </w:r>
      <w:r>
        <w:t xml:space="preserve"> </w:t>
      </w:r>
      <w:r>
        <w:t xml:space="preserve">inductive biases (linear additivity for unmixing; high-capacity</w:t>
      </w:r>
      <w:r>
        <w:t xml:space="preserve"> </w:t>
      </w:r>
      <w:r>
        <w:t xml:space="preserve">non-linear feature extraction for deep models).</w:t>
      </w:r>
    </w:p>
    <w:p>
      <w:pPr>
        <w:pStyle w:val="BodyText"/>
      </w:pPr>
      <w:r>
        <w:t xml:space="preserve">A third, less developed paradigm treats each pixel as a</w:t>
      </w:r>
      <w:r>
        <w:t xml:space="preserve"> </w:t>
      </w:r>
      <w:r>
        <w:rPr>
          <w:i/>
          <w:iCs/>
        </w:rPr>
        <w:t xml:space="preserve">document</w:t>
      </w:r>
      <w:r>
        <w:t xml:space="preserve"> </w:t>
      </w:r>
      <w:r>
        <w:t xml:space="preserve">of quantised band-frequency tokens and applies a topic</w:t>
      </w:r>
      <w:r>
        <w:t xml:space="preserve"> </w:t>
      </w:r>
      <w:r>
        <w:t xml:space="preserve">model, typically Latent Dirichlet Allocation (LDA)</w:t>
      </w:r>
      <w:r>
        <w:t xml:space="preserve"> </w:t>
      </w:r>
      <w:r>
        <w:t xml:space="preserve">(Blei et al. 2003; Hoffman et al. 2010)</w:t>
      </w:r>
      <w:r>
        <w:t xml:space="preserve">, to recover a basis of</w:t>
      </w:r>
      <w:r>
        <w:t xml:space="preserve"> </w:t>
      </w:r>
      <w:r>
        <w:t xml:space="preserve">topic–word distributions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 per-pixel posterior simplex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. The promise is interpretability: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non-negative</w:t>
      </w:r>
      <w:r>
        <w:t xml:space="preserve"> </w:t>
      </w:r>
      <w:r>
        <w:t xml:space="preserve">spectral basis that can be inspected as a basis spectrum and visually</w:t>
      </w:r>
      <w:r>
        <w:t xml:space="preserve"> </w:t>
      </w:r>
      <w:r>
        <w:t xml:space="preserve">or numerically compared with reference libraries;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soft mixture 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basis spectra that can be inspected as an</w:t>
      </w:r>
      <w:r>
        <w:t xml:space="preserve"> </w:t>
      </w:r>
      <w:r>
        <w:t xml:space="preserve">abundance vector or fed into a downstream classifier as a low-dimensional</w:t>
      </w:r>
      <w:r>
        <w:t xml:space="preserve"> </w:t>
      </w:r>
      <w:r>
        <w:t xml:space="preserve">feature</w:t>
      </w:r>
      <w:r>
        <w:t xml:space="preserve"> </w:t>
      </w:r>
      <w:r>
        <w:t xml:space="preserve">(Zou and Zare 2017)</w:t>
      </w:r>
      <w:r>
        <w:t xml:space="preserve">. The paradigm has been</w:t>
      </w:r>
      <w:r>
        <w:t xml:space="preserve"> </w:t>
      </w:r>
      <w:r>
        <w:t xml:space="preserve">extended to neural-topic-model variants such as ProdLDA</w:t>
      </w:r>
      <w:r>
        <w:t xml:space="preserve"> </w:t>
      </w:r>
      <w:r>
        <w:t xml:space="preserve">(Srivastava and Sutton 2017)</w:t>
      </w:r>
      <w:r>
        <w:t xml:space="preserve"> </w:t>
      </w:r>
      <w:r>
        <w:t xml:space="preserve">and the Embedded Topic Model (ETM)</w:t>
      </w:r>
      <w:r>
        <w:t xml:space="preserve"> </w:t>
      </w:r>
      <w:r>
        <w:t xml:space="preserve">(Dieng et al. 2020)</w:t>
      </w:r>
      <w:r>
        <w:t xml:space="preserve">, which replace the variational EM of online LDA</w:t>
      </w:r>
      <w:r>
        <w:t xml:space="preserve"> </w:t>
      </w:r>
      <w:r>
        <w:t xml:space="preserve">with an amortised variational autoencoder</w:t>
      </w:r>
      <w:r>
        <w:t xml:space="preserve"> </w:t>
      </w:r>
      <w:r>
        <w:t xml:space="preserve">(Kingma and Welling 2014; Miao et al. 2016)</w:t>
      </w:r>
      <w:r>
        <w:t xml:space="preserve"> </w:t>
      </w:r>
      <w:r>
        <w:t xml:space="preserve">and a learned embedding basis,</w:t>
      </w:r>
      <w:r>
        <w:t xml:space="preserve"> </w:t>
      </w:r>
      <w:r>
        <w:t xml:space="preserve">respectively.</w:t>
      </w:r>
    </w:p>
    <w:bookmarkStart w:id="13" w:name="the-accuracy-only-view-and-its-limits"/>
    <w:p>
      <w:pPr>
        <w:pStyle w:val="Heading2"/>
      </w:pPr>
      <w:r>
        <w:t xml:space="preserve">The accuracy-only view and its limits</w:t>
      </w:r>
    </w:p>
    <w:p>
      <w:pPr>
        <w:pStyle w:val="FirstParagraph"/>
      </w:pPr>
      <w:r>
        <w:t xml:space="preserve">The empirical literature evaluating LDA-style topic models on HSI is</w:t>
      </w:r>
      <w:r>
        <w:t xml:space="preserve"> </w:t>
      </w:r>
      <w:r>
        <w:t xml:space="preserve">small but converging on a familiar pattern: a paper proposes a topic</w:t>
      </w:r>
      <w:r>
        <w:t xml:space="preserve"> </w:t>
      </w:r>
      <w:r>
        <w:t xml:space="preserve">model variant, applies it to one or two labelled scenes, and reports</w:t>
      </w:r>
      <w:r>
        <w:t xml:space="preserve"> </w:t>
      </w:r>
      <w:r>
        <w:t xml:space="preserve">overall accuracy (OA) and kappa from a downstream classifier built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against published OA/kappa numbers for a chosen deep or</w:t>
      </w:r>
      <w:r>
        <w:t xml:space="preserve"> </w:t>
      </w:r>
      <w:r>
        <w:t xml:space="preserve">classical baseline. We refer to this as the</w:t>
      </w:r>
      <w:r>
        <w:t xml:space="preserve"> </w:t>
      </w:r>
      <w:r>
        <w:rPr>
          <w:i/>
          <w:iCs/>
        </w:rPr>
        <w:t xml:space="preserve">accuracy-only view</w:t>
      </w:r>
      <w:r>
        <w:t xml:space="preserve">.</w:t>
      </w:r>
      <w:r>
        <w:t xml:space="preserve"> </w:t>
      </w:r>
      <w:r>
        <w:t xml:space="preserve">The accuracy-only view is silent on questions that are central to the</w:t>
      </w:r>
      <w:r>
        <w:t xml:space="preserve"> </w:t>
      </w:r>
      <w:r>
        <w:t xml:space="preserve">interpretability claim that motivates using topic models in the first</w:t>
      </w:r>
      <w:r>
        <w:t xml:space="preserve"> </w:t>
      </w:r>
      <w:r>
        <w:t xml:space="preserve">place:</w:t>
      </w:r>
    </w:p>
    <w:p>
      <w:pPr>
        <w:numPr>
          <w:ilvl w:val="0"/>
          <w:numId w:val="1001"/>
        </w:numPr>
      </w:pPr>
      <w:r>
        <w:t xml:space="preserve">Is the topic basis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reproducible under different random</w:t>
      </w:r>
      <w:r>
        <w:t xml:space="preserve"> </w:t>
      </w:r>
      <w:r>
        <w:t xml:space="preserve">seeds? If not, the</w:t>
      </w:r>
      <w:r>
        <w:t xml:space="preserve"> </w:t>
      </w:r>
      <w:r>
        <w:t xml:space="preserve">“interpretable mineral signature on topic 3”</w:t>
      </w:r>
      <w:r>
        <w:t xml:space="preserve"> </w:t>
      </w:r>
      <w:r>
        <w:t xml:space="preserve">narrative is a description of the realisation, not of the model.</w:t>
      </w:r>
    </w:p>
    <w:p>
      <w:pPr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robust to the choice of</w:t>
      </w:r>
      <w:r>
        <w:t xml:space="preserve"> </w:t>
      </w:r>
      <w:r>
        <w:rPr>
          <w:i/>
          <w:iCs/>
        </w:rPr>
        <w:t xml:space="preserve">spectral window</w:t>
      </w:r>
      <w:r>
        <w:t xml:space="preserve">?</w:t>
      </w:r>
      <w:r>
        <w:t xml:space="preserve"> </w:t>
      </w:r>
      <w:r>
        <w:t xml:space="preserve">A topic basis that flips identity when one removes the atmospheric</w:t>
      </w:r>
      <w:r>
        <w:t xml:space="preserve"> </w:t>
      </w:r>
      <w:r>
        <w:t xml:space="preserve">water bands provides weak grounds for any spectral-window-conditional</w:t>
      </w:r>
      <w:r>
        <w:t xml:space="preserve"> </w:t>
      </w:r>
      <w:r>
        <w:t xml:space="preserve">interpretation.</w:t>
      </w:r>
    </w:p>
    <w:p>
      <w:pPr>
        <w:numPr>
          <w:ilvl w:val="0"/>
          <w:numId w:val="1001"/>
        </w:numPr>
      </w:pPr>
      <w:r>
        <w:t xml:space="preserve">Is the posterior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i/>
          <w:iCs/>
        </w:rPr>
        <w:t xml:space="preserve">well calibrated</w:t>
      </w:r>
      <w:r>
        <w:t xml:space="preserve">, in the sense</w:t>
      </w:r>
      <w:r>
        <w:t xml:space="preserve"> </w:t>
      </w:r>
      <w:r>
        <w:t xml:space="preserve">that pixels with high entropy 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correspond to materially</w:t>
      </w:r>
      <w:r>
        <w:t xml:space="preserve"> </w:t>
      </w:r>
      <w:r>
        <w:t xml:space="preserve">mixed regions and pixels with low entropy correspond to materially</w:t>
      </w:r>
      <w:r>
        <w:t xml:space="preserve"> </w:t>
      </w:r>
      <w:r>
        <w:t xml:space="preserve">homogeneous regions?</w:t>
      </w:r>
    </w:p>
    <w:p>
      <w:pPr>
        <w:numPr>
          <w:ilvl w:val="0"/>
          <w:numId w:val="1001"/>
        </w:numPr>
      </w:pPr>
      <w:r>
        <w:t xml:space="preserve">Does the topic representation</w:t>
      </w:r>
      <w:r>
        <w:t xml:space="preserve"> </w:t>
      </w:r>
      <w:r>
        <w:rPr>
          <w:i/>
          <w:iCs/>
        </w:rPr>
        <w:t xml:space="preserve">actually outperform</w:t>
      </w:r>
      <w:r>
        <w:t xml:space="preserve"> </w:t>
      </w:r>
      <w:r>
        <w:t xml:space="preserve">the</w:t>
      </w:r>
      <w:r>
        <w:t xml:space="preserve"> </w:t>
      </w:r>
      <w:r>
        <w:t xml:space="preserve">raw-spectrum logistic baseline once one accounts for the multi-scene</w:t>
      </w:r>
      <w:r>
        <w:t xml:space="preserve"> </w:t>
      </w:r>
      <w:r>
        <w:t xml:space="preserve">multi-fold variability via a proper hierarchical model rather than a</w:t>
      </w:r>
      <w:r>
        <w:t xml:space="preserve"> </w:t>
      </w:r>
      <w:r>
        <w:t xml:space="preserve">single OA average?</w:t>
      </w:r>
    </w:p>
    <w:p>
      <w:pPr>
        <w:numPr>
          <w:ilvl w:val="0"/>
          <w:numId w:val="1001"/>
        </w:numPr>
      </w:pPr>
      <w:r>
        <w:t xml:space="preserve">Does the dominant-topic map</w:t>
      </w:r>
      <w:r>
        <w:t xml:space="preserve"> </w:t>
      </w:r>
      <w:r>
        <w:rPr>
          <w:i/>
          <w:iCs/>
        </w:rPr>
        <w:t xml:space="preserve">spatially agree</w:t>
      </w:r>
      <w:r>
        <w:t xml:space="preserve"> </w:t>
      </w:r>
      <w:r>
        <w:t xml:space="preserve">with</w:t>
      </w:r>
      <w:r>
        <w:t xml:space="preserve"> </w:t>
      </w:r>
      <w:r>
        <w:t xml:space="preserve">unsupervised segmentation methods (SLIC, Felzenszwalb) that operate</w:t>
      </w:r>
      <w:r>
        <w:t xml:space="preserve"> </w:t>
      </w:r>
      <w:r>
        <w:t xml:space="preserve">on raw spectra without ever fitting a topic model, and if so does the</w:t>
      </w:r>
      <w:r>
        <w:t xml:space="preserve"> </w:t>
      </w:r>
      <w:r>
        <w:t xml:space="preserve">agreement reflect signal or shared smoothness bias?</w:t>
      </w:r>
    </w:p>
    <w:p>
      <w:pPr>
        <w:pStyle w:val="FirstParagraph"/>
      </w:pPr>
      <w:r>
        <w:t xml:space="preserve">A single accuracy number cannot answer any of these. A paper that</w:t>
      </w:r>
      <w:r>
        <w:t xml:space="preserve"> </w:t>
      </w:r>
      <w:r>
        <w:t xml:space="preserve">reports OA</w:t>
      </w:r>
      <w:r>
        <w:t xml:space="preserve"> </w:t>
      </w:r>
      <m:oMath>
        <m:r>
          <m:rPr>
            <m:sty m:val="p"/>
          </m:rPr>
          <m:t>=</m:t>
        </m:r>
        <m:r>
          <m:t>0.85</m:t>
        </m:r>
      </m:oMath>
      <w:r>
        <w:t xml:space="preserve"> </w:t>
      </w:r>
      <w:r>
        <w:t xml:space="preserve">on Indian Pines might be reporting on a</w:t>
      </w:r>
      <w:r>
        <w:t xml:space="preserve"> </w:t>
      </w:r>
      <w:r>
        <w:t xml:space="preserve">band-fragile, seed-unstable, mode-collapsed topic basis whose downstream</w:t>
      </w:r>
      <w:r>
        <w:t xml:space="preserve"> </w:t>
      </w:r>
      <w:r>
        <w:t xml:space="preserve">classifier happens to predict the same labels as a linear baseline on</w:t>
      </w:r>
      <w:r>
        <w:t xml:space="preserve"> </w:t>
      </w:r>
      <w:r>
        <w:t xml:space="preserve">the raw spectrum. The interpretability that initially motivated</w:t>
      </w:r>
      <w:r>
        <w:t xml:space="preserve"> </w:t>
      </w:r>
      <w:r>
        <w:t xml:space="preserve">choosing a topic model has, in that scenario, evaporated.</w:t>
      </w:r>
    </w:p>
    <w:bookmarkEnd w:id="13"/>
    <w:bookmarkStart w:id="14" w:name="contributions"/>
    <w:p>
      <w:pPr>
        <w:pStyle w:val="Heading2"/>
      </w:pPr>
      <w:r>
        <w:t xml:space="preserve">Contributions</w:t>
      </w:r>
    </w:p>
    <w:p>
      <w:pPr>
        <w:pStyle w:val="FirstParagraph"/>
      </w:pPr>
      <w:r>
        <w:t xml:space="preserve">This paper proposes and instantiates a twelve-axis evaluation framework</w:t>
      </w:r>
      <w:r>
        <w:t xml:space="preserve"> </w:t>
      </w:r>
      <w:r>
        <w:t xml:space="preserve">for LDA-style topic models on HSI. The framework is designed so that</w:t>
      </w:r>
      <w:r>
        <w:t xml:space="preserve"> </w:t>
      </w:r>
      <w:r>
        <w:t xml:space="preserve">each axis is operational (deterministic, with a fixed-seed</w:t>
      </w:r>
      <w:r>
        <w:t xml:space="preserve"> </w:t>
      </w:r>
      <w:r>
        <w:t xml:space="preserve">reproducibility contract), comparable across scenes, and surfaces a</w:t>
      </w:r>
      <w:r>
        <w:t xml:space="preserve"> </w:t>
      </w:r>
      <w:r>
        <w:t xml:space="preserve">specific failure mode that the accuracy-only view hides. Concretely:</w:t>
      </w:r>
    </w:p>
    <w:p>
      <w:pPr>
        <w:numPr>
          <w:ilvl w:val="0"/>
          <w:numId w:val="1002"/>
        </w:numPr>
      </w:pPr>
      <w:r>
        <w:t xml:space="preserve">We define twelve evaluation axes (F-1 through F-12) covering</w:t>
      </w:r>
      <w:r>
        <w:t xml:space="preserve"> </w:t>
      </w:r>
      <w:r>
        <w:t xml:space="preserve">classification, coherence, seed stability, capacity, band robustness,</w:t>
      </w:r>
      <w:r>
        <w:t xml:space="preserve"> </w:t>
      </w:r>
      <w:r>
        <w:t xml:space="preserve">cross-method agreement, topic–label coupling, topic identity tracking,</w:t>
      </w:r>
      <w:r>
        <w:t xml:space="preserve"> </w:t>
      </w:r>
      <w:r>
        <w:t xml:space="preserve">preprocessing robustness, cross-scene transfer, rate–distortion, and</w:t>
      </w:r>
      <w:r>
        <w:t xml:space="preserve"> </w:t>
      </w:r>
      <w:r>
        <w:t xml:space="preserve">external spectral-library alignment. Each axis specifies (a) the metric, (b)</w:t>
      </w:r>
      <w:r>
        <w:t xml:space="preserve"> </w:t>
      </w:r>
      <w:r>
        <w:t xml:space="preserve">the unit of comparison, (c) the deterministic builder used to compute</w:t>
      </w:r>
      <w:r>
        <w:t xml:space="preserve"> </w:t>
      </w:r>
      <w:r>
        <w:t xml:space="preserve">it, and (d) the JSON artefact included in the public release.</w:t>
      </w:r>
    </w:p>
    <w:p>
      <w:pPr>
        <w:numPr>
          <w:ilvl w:val="0"/>
          <w:numId w:val="1002"/>
        </w:numPr>
      </w:pPr>
      <w:r>
        <w:t xml:space="preserve">We apply the framework to six standard labelled HSI benchmarks</w:t>
      </w:r>
      <w:r>
        <w:t xml:space="preserve"> </w:t>
      </w:r>
      <w:r>
        <w:t xml:space="preserve">and five HIDSAG mineralogical subsets. All numerical results are</w:t>
      </w:r>
      <w:r>
        <w:t xml:space="preserve"> </w:t>
      </w:r>
      <w:r>
        <w:t xml:space="preserve">computed from the same canonical LDA fit (</w:t>
      </w:r>
      <m:oMath>
        <m:r>
          <m:t>K</m:t>
        </m:r>
      </m:oMath>
      <w:r>
        <w:t xml:space="preserve"> </w:t>
      </w:r>
      <w:r>
        <w:t xml:space="preserve">chosen by the rule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online-VB passes, seed</w:t>
      </w:r>
      <w:r>
        <w:t xml:space="preserve"> </w:t>
      </w:r>
      <m:oMath>
        <m:r>
          <m:t>42</m:t>
        </m:r>
      </m:oMath>
      <w:r>
        <w:t xml:space="preserve">, samples</w:t>
      </w:r>
      <w:r>
        <w:t xml:space="preserve"> </w:t>
      </w:r>
      <w:r>
        <w:t xml:space="preserve">per class</w:t>
      </w:r>
      <w:r>
        <w:t xml:space="preserve"> </w:t>
      </w:r>
      <m:oMath>
        <m:r>
          <m:t>220</m:t>
        </m:r>
      </m:oMath>
      <w:r>
        <w:t xml:space="preserve">).</w:t>
      </w:r>
    </w:p>
    <w:p>
      <w:pPr>
        <w:numPr>
          <w:ilvl w:val="0"/>
          <w:numId w:val="1002"/>
        </w:numPr>
      </w:pPr>
      <w:r>
        <w:t xml:space="preserve">We compare against two neural topic models (ProdLDA, ETM) on</w:t>
      </w:r>
      <w:r>
        <w:t xml:space="preserve"> </w:t>
      </w:r>
      <w:r>
        <w:t xml:space="preserve">the labelled scenes with the same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same five-seed stability</w:t>
      </w:r>
      <w:r>
        <w:t xml:space="preserve"> </w:t>
      </w:r>
      <w:r>
        <w:t xml:space="preserve">protocol, surfacing a head-to-head accuracy ordering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LDA</m:t>
        </m:r>
        <m:r>
          <m:rPr>
            <m:sty m:val="p"/>
          </m:rPr>
          <m:t>&gt;</m:t>
        </m:r>
        <m:r>
          <m:rPr>
            <m:nor/>
            <m:sty m:val="p"/>
          </m:rPr>
          <m:t>ETM</m:t>
        </m:r>
        <m:r>
          <m:rPr>
            <m:sty m:val="p"/>
          </m:rPr>
          <m:t>&gt;</m:t>
        </m:r>
        <m:r>
          <m:rPr>
            <m:nor/>
            <m:sty m:val="p"/>
          </m:rPr>
          <m:t>ProdLDA</m:t>
        </m:r>
        <m:r>
          <m:rPr>
            <m:sty m:val="p"/>
          </m:rPr>
          <m:t>)</m:t>
        </m:r>
      </m:oMath>
      <w:r>
        <w:t xml:space="preserve"> </w:t>
      </w:r>
      <w:r>
        <w:t xml:space="preserve">that runs counter to the</w:t>
      </w:r>
      <w:r>
        <w:t xml:space="preserve"> </w:t>
      </w:r>
      <w:r>
        <w:t xml:space="preserve">neural-supremacy expectation.</w:t>
      </w:r>
    </w:p>
    <w:p>
      <w:pPr>
        <w:numPr>
          <w:ilvl w:val="0"/>
          <w:numId w:val="1002"/>
        </w:numPr>
      </w:pPr>
      <w:r>
        <w:t xml:space="preserve">We compare against three non-topic baselines (raw-spectrum</w:t>
      </w:r>
      <w:r>
        <w:t xml:space="preserve"> </w:t>
      </w:r>
      <w:r>
        <w:t xml:space="preserve">logistic regression, PCA-</w:t>
      </w:r>
      <m:oMath>
        <m:r>
          <m:t>K</m:t>
        </m:r>
      </m:oMath>
      <w:r>
        <w:t xml:space="preserve"> </w:t>
      </w:r>
      <w:r>
        <w:t xml:space="preserve">logistic regression, theta-only logistic</w:t>
      </w:r>
      <w:r>
        <w:t xml:space="preserve"> </w:t>
      </w:r>
      <w:r>
        <w:t xml:space="preserve">regression) and two topic-routed classifiers (hard- and soft-gated</w:t>
      </w:r>
      <w:r>
        <w:t xml:space="preserve"> </w:t>
      </w:r>
      <w:r>
        <w:t xml:space="preserve">mixtures of per-topic logistic experts). Methods are compared by their</w:t>
      </w:r>
      <w:r>
        <w:t xml:space="preserve"> </w:t>
      </w:r>
      <w:r>
        <w:t xml:space="preserve">paired macro-F1 differences over the (scene, fold) cells and by the</w:t>
      </w:r>
      <w:r>
        <w:t xml:space="preserve"> </w:t>
      </w:r>
      <w:r>
        <w:t xml:space="preserve">pairwise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of a hierarchical Bayesian model that pools over</w:t>
      </w:r>
      <w:r>
        <w:t xml:space="preserve"> </w:t>
      </w:r>
      <w:r>
        <w:t xml:space="preserve">scenes and folds, instead of a single-OA bar chart.</w:t>
      </w:r>
    </w:p>
    <w:p>
      <w:pPr>
        <w:numPr>
          <w:ilvl w:val="0"/>
          <w:numId w:val="1002"/>
        </w:numPr>
      </w:pPr>
      <w:r>
        <w:t xml:space="preserve">We show that the topic proportions alone discard class</w:t>
      </w:r>
      <w:r>
        <w:t xml:space="preserve"> </w:t>
      </w:r>
      <w:r>
        <w:t xml:space="preserve">information on both benchmark families: a logistic regression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trails the raw-spectrum baseline by 0.325 macro-F1 on the</w:t>
      </w:r>
      <w:r>
        <w:t xml:space="preserve"> </w:t>
      </w:r>
      <w:r>
        <w:t xml:space="preserve">labelled scenes and by 0.268 on the HIDSAG targets, while the</w:t>
      </w:r>
      <w:r>
        <w:t xml:space="preserve"> </w:t>
      </w:r>
      <w:r>
        <w:t xml:space="preserve">topic-routed classifier, which keeps the raw spectrum, matches the</w:t>
      </w:r>
      <w:r>
        <w:t xml:space="preserve"> </w:t>
      </w:r>
      <w:r>
        <w:t xml:space="preserve">baseline on the labelled scenes.</w:t>
      </w:r>
    </w:p>
    <w:p>
      <w:pPr>
        <w:numPr>
          <w:ilvl w:val="0"/>
          <w:numId w:val="1002"/>
        </w:numPr>
      </w:pPr>
      <w:r>
        <w:t xml:space="preserve">We release 3895 deterministic derived artefacts (449 MB), the</w:t>
      </w:r>
      <w:r>
        <w:t xml:space="preserve"> </w:t>
      </w:r>
      <w:r>
        <w:t xml:space="preserve">builder source code (Python, NumPy, scikit-learn, Gensim, PyTorch),</w:t>
      </w:r>
      <w:r>
        <w:t xml:space="preserve"> </w:t>
      </w:r>
      <w:r>
        <w:t xml:space="preserve">the FastAPI backend, the React frontend, and a 109-endpoint test</w:t>
      </w:r>
      <w:r>
        <w:t xml:space="preserve"> </w:t>
      </w:r>
      <w:r>
        <w:t xml:space="preserve">harness as a public MIT-licensed package.</w:t>
      </w:r>
    </w:p>
    <w:bookmarkEnd w:id="14"/>
    <w:bookmarkStart w:id="15" w:name="paper-organisation"/>
    <w:p>
      <w:pPr>
        <w:pStyle w:val="Heading2"/>
      </w:pPr>
      <w:r>
        <w:t xml:space="preserve">Paper organisation</w:t>
      </w:r>
    </w:p>
    <w:p>
      <w:pPr>
        <w:pStyle w:val="FirstParagraph"/>
      </w:pPr>
      <w:r>
        <w:t xml:space="preserve">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surveys related work on LDA for HSI, on</w:t>
      </w:r>
      <w:r>
        <w:t xml:space="preserve"> </w:t>
      </w:r>
      <w:r>
        <w:t xml:space="preserve">neural topic models, and on accuracy-beyond-OA evaluation in remote</w:t>
      </w:r>
      <w:r>
        <w:t xml:space="preserve"> </w:t>
      </w:r>
      <w:r>
        <w:t xml:space="preserve">sensing. Section </w:t>
      </w:r>
      <w:hyperlink w:anchor="sec:framework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introduces the twelve-axis</w:t>
      </w:r>
      <w:r>
        <w:t xml:space="preserve"> </w:t>
      </w:r>
      <w:r>
        <w:t xml:space="preserve">framework and the canonical fit. Section </w:t>
      </w:r>
      <w:hyperlink w:anchor="sec:metho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states the</w:t>
      </w:r>
      <w:r>
        <w:t xml:space="preserve"> </w:t>
      </w:r>
      <w:r>
        <w:t xml:space="preserve">methodological details of each axis (F-1 through F-12).</w:t>
      </w:r>
      <w:r>
        <w:t xml:space="preserve"> </w:t>
      </w:r>
      <w:r>
        <w:t xml:space="preserve">Section </w:t>
      </w:r>
      <w:hyperlink w:anchor="sec:setup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experimental setup (scenes,</w:t>
      </w:r>
      <w:r>
        <w:t xml:space="preserve"> </w:t>
      </w:r>
      <w:r>
        <w:t xml:space="preserve">HIDSAG subsets, tokenisation, hyperparameters).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the per-axis results.</w:t>
      </w:r>
      <w:r>
        <w:t xml:space="preserve"> </w:t>
      </w:r>
      <w:r>
        <w:t xml:space="preserve">Section </w:t>
      </w:r>
      <w:hyperlink w:anchor="sec:discus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discusses interpretation and</w:t>
      </w:r>
      <w:r>
        <w:t xml:space="preserve"> </w:t>
      </w:r>
      <w:r>
        <w:t xml:space="preserve">limitations. Section </w:t>
      </w:r>
      <w:hyperlink w:anchor="sec:repro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documents the reproducibility</w:t>
      </w:r>
      <w:r>
        <w:t xml:space="preserve"> </w:t>
      </w:r>
      <w:r>
        <w:t xml:space="preserve">artefact set. Section </w:t>
      </w:r>
      <w:hyperlink w:anchor="sec:conclude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concludes.</w:t>
      </w:r>
    </w:p>
    <w:bookmarkEnd w:id="15"/>
    <w:bookmarkEnd w:id="16"/>
    <w:bookmarkStart w:id="20" w:name="sec:related"/>
    <w:p>
      <w:pPr>
        <w:pStyle w:val="Heading1"/>
      </w:pPr>
      <w:r>
        <w:t xml:space="preserve">Related Work</w:t>
      </w:r>
    </w:p>
    <w:bookmarkStart w:id="17" w:name="X16b8d58099a2d267815b164494d466da3cc2970"/>
    <w:p>
      <w:pPr>
        <w:pStyle w:val="Heading2"/>
      </w:pPr>
      <w:r>
        <w:t xml:space="preserve">LDA-style topic models on hyperspectral imagery</w:t>
      </w:r>
    </w:p>
    <w:p>
      <w:pPr>
        <w:pStyle w:val="FirstParagraph"/>
      </w:pPr>
      <w:r>
        <w:t xml:space="preserve">LDA</w:t>
      </w:r>
      <w:r>
        <w:t xml:space="preserve"> </w:t>
      </w:r>
      <w:r>
        <w:t xml:space="preserve">(Blei et al. 2003)</w:t>
      </w:r>
      <w:r>
        <w:t xml:space="preserve"> </w:t>
      </w:r>
      <w:r>
        <w:t xml:space="preserve">was originally proposed as a generative model</w:t>
      </w:r>
      <w:r>
        <w:t xml:space="preserve"> </w:t>
      </w:r>
      <w:r>
        <w:t xml:space="preserve">for text corpora; its application to HSI requires tokenising the</w:t>
      </w:r>
      <w:r>
        <w:t xml:space="preserve"> </w:t>
      </w:r>
      <w:r>
        <w:t xml:space="preserve">continuous reflectance spectrum into a discrete band-frequency</w:t>
      </w:r>
      <w:r>
        <w:t xml:space="preserve"> </w:t>
      </w:r>
      <w:r>
        <w:t xml:space="preserve">vocabulary. Zou and Zare </w:t>
      </w:r>
      <w:r>
        <w:t xml:space="preserve">(Zou and Zare 2017)</w:t>
      </w:r>
      <w:r>
        <w:t xml:space="preserve"> </w:t>
      </w:r>
      <w:r>
        <w:t xml:space="preserve">applied</w:t>
      </w:r>
      <w:r>
        <w:t xml:space="preserve"> </w:t>
      </w:r>
      <w:r>
        <w:rPr>
          <w:i/>
          <w:iCs/>
        </w:rPr>
        <w:t xml:space="preserve">PM-LDA</w:t>
      </w:r>
      <w:r>
        <w:t xml:space="preserve"> </w:t>
      </w:r>
      <w:r>
        <w:t xml:space="preserve">(partial-membership LDA), in which each pixel admits a soft membership</w:t>
      </w:r>
      <w:r>
        <w:t xml:space="preserve"> </w:t>
      </w:r>
      <w:r>
        <w:t xml:space="preserve">to multiple topics representing spectral classes, to hyperspectral</w:t>
      </w:r>
      <w:r>
        <w:t xml:space="preserve"> </w:t>
      </w:r>
      <w:r>
        <w:t xml:space="preserve">unmixing with endmember variability. An adjacent line by Wahabzada et</w:t>
      </w:r>
      <w:r>
        <w:t xml:space="preserve"> </w:t>
      </w:r>
      <w:r>
        <w:t xml:space="preserve">al. </w:t>
      </w:r>
      <w:r>
        <w:t xml:space="preserve">(Wahabzada et al. 2016)</w:t>
      </w:r>
      <w:r>
        <w:t xml:space="preserve"> </w:t>
      </w:r>
      <w:r>
        <w:t xml:space="preserve">applied probabilistic topic models to</w:t>
      </w:r>
      <w:r>
        <w:t xml:space="preserve"> </w:t>
      </w:r>
      <w:r>
        <w:t xml:space="preserve">hyperspectral plant phenotyping to recover an interpretable</w:t>
      </w:r>
      <w:r>
        <w:t xml:space="preserve"> </w:t>
      </w:r>
      <w:r>
        <w:t xml:space="preserve">“hyperspectral language of plants”</w:t>
      </w:r>
      <w:r>
        <w:t xml:space="preserve">. Beyond these direct</w:t>
      </w:r>
      <w:r>
        <w:t xml:space="preserve"> </w:t>
      </w:r>
      <w:r>
        <w:t xml:space="preserve">applications, the broader</w:t>
      </w:r>
      <w:r>
        <w:t xml:space="preserve"> </w:t>
      </w:r>
      <w:r>
        <w:t xml:space="preserve">HSI literature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implicitly through related abstractions:</w:t>
      </w:r>
      <w:r>
        <w:t xml:space="preserve"> </w:t>
      </w:r>
      <w:r>
        <w:t xml:space="preserve">linear unmixing</w:t>
      </w:r>
      <w:r>
        <w:t xml:space="preserve"> </w:t>
      </w:r>
      <w:r>
        <w:t xml:space="preserve">(Nascimento and Bioucas-Dias 2005; Bioucas-Dias et al. 2012; Borsoi et al. 2021)</w:t>
      </w:r>
      <w:r>
        <w:t xml:space="preserve"> </w:t>
      </w:r>
      <w:r>
        <w:t xml:space="preserve">estimates a per-pixel abundance over a small set of endmembers,</w:t>
      </w:r>
      <w:r>
        <w:t xml:space="preserve"> </w:t>
      </w:r>
      <w:r>
        <w:t xml:space="preserve">which is functionally analogous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over a basis of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; the survey of Borsoi et</w:t>
      </w:r>
      <w:r>
        <w:t xml:space="preserve"> </w:t>
      </w:r>
      <w:r>
        <w:t xml:space="preserve">al. </w:t>
      </w:r>
      <w:r>
        <w:t xml:space="preserve">(Borsoi et al. 2021)</w:t>
      </w:r>
      <w:r>
        <w:t xml:space="preserve"> </w:t>
      </w:r>
      <w:r>
        <w:t xml:space="preserve">consolidates the modern</w:t>
      </w:r>
      <w:r>
        <w:t xml:space="preserve"> </w:t>
      </w:r>
      <w:r>
        <w:t xml:space="preserve">spectral-variability variants and the Samson / Jasper-Ridge / Urban</w:t>
      </w:r>
      <w:r>
        <w:t xml:space="preserve"> </w:t>
      </w:r>
      <w:r>
        <w:t xml:space="preserve">benchmarks that the unmixing community uses. Sparse coding and</w:t>
      </w:r>
      <w:r>
        <w:t xml:space="preserve"> </w:t>
      </w:r>
      <w:r>
        <w:t xml:space="preserve">dictionary learning on spectra are similarly analogous. The conceptual gap addressed by this paper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new tokenisation or a new variant of LDA; it is the</w:t>
      </w:r>
      <w:r>
        <w:t xml:space="preserve"> </w:t>
      </w:r>
      <w:r>
        <w:t xml:space="preserve">absence of a shared, axis-by-axis evaluation framework that lets</w:t>
      </w:r>
      <w:r>
        <w:t xml:space="preserve"> </w:t>
      </w:r>
      <w:r>
        <w:t xml:space="preserve">follow-on work be compared on a uniform basis.</w:t>
      </w:r>
    </w:p>
    <w:bookmarkEnd w:id="17"/>
    <w:bookmarkStart w:id="18" w:name="neural-topic-models"/>
    <w:p>
      <w:pPr>
        <w:pStyle w:val="Heading2"/>
      </w:pPr>
      <w:r>
        <w:t xml:space="preserve">Neural topic models</w:t>
      </w:r>
    </w:p>
    <w:p>
      <w:pPr>
        <w:pStyle w:val="FirstParagraph"/>
      </w:pPr>
      <w:r>
        <w:t xml:space="preserve">ProdLDA</w:t>
      </w:r>
      <w:r>
        <w:t xml:space="preserve"> </w:t>
      </w:r>
      <w:r>
        <w:t xml:space="preserve">(Srivastava and Sutton 2017)</w:t>
      </w:r>
      <w:r>
        <w:t xml:space="preserve"> </w:t>
      </w:r>
      <w:r>
        <w:t xml:space="preserve">replaces the</w:t>
      </w:r>
      <w:r>
        <w:t xml:space="preserve"> </w:t>
      </w:r>
      <w:r>
        <w:t xml:space="preserve">variational-EM inference of LDA with a Laplace-approximated VAE</w:t>
      </w:r>
      <w:r>
        <w:t xml:space="preserve"> </w:t>
      </w:r>
      <w:r>
        <w:t xml:space="preserve">(Kingma and Welling 2014)</w:t>
      </w:r>
      <w:r>
        <w:t xml:space="preserve">, yielding amortised inference and substantially</w:t>
      </w:r>
      <w:r>
        <w:t xml:space="preserve"> </w:t>
      </w:r>
      <w:r>
        <w:t xml:space="preserve">sharper topic posteriors on text. The Embedded Topic Model (ETM)</w:t>
      </w:r>
      <w:r>
        <w:t xml:space="preserve"> </w:t>
      </w:r>
      <w:r>
        <w:t xml:space="preserve">(Dieng et al. 2020)</w:t>
      </w:r>
      <w:r>
        <w:t xml:space="preserve"> </w:t>
      </w:r>
      <w:r>
        <w:t xml:space="preserve">additionally embeds words and topics into a</w:t>
      </w:r>
      <w:r>
        <w:t xml:space="preserve"> </w:t>
      </w:r>
      <w:r>
        <w:t xml:space="preserve">shared continuous space, allowing rare words to inherit semantic</w:t>
      </w:r>
      <w:r>
        <w:t xml:space="preserve"> </w:t>
      </w:r>
      <w:r>
        <w:t xml:space="preserve">neighbours’ topic associations. The model run in this paper under the</w:t>
      </w:r>
      <w:r>
        <w:t xml:space="preserve"> </w:t>
      </w:r>
      <w:r>
        <w:t xml:space="preserve">ProdLDA label is the mixture-decoder form of Srivastava and Sutton’s</w:t>
      </w:r>
      <w:r>
        <w:t xml:space="preserve"> </w:t>
      </w:r>
      <w:r>
        <w:t xml:space="preserve">amortised topic model (their NVLDA): a standard normal prior</w:t>
      </w:r>
      <w:r>
        <w:t xml:space="preserve"> </w:t>
      </w:r>
      <m:oMath>
        <m:sSub>
          <m:e>
            <m:r>
              <m:t>δ</m:t>
            </m:r>
          </m:e>
          <m:sub>
            <m:r>
              <m:t>d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b>
          <m:e>
            <m:r>
              <m:t>δ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d</m:t>
            </m:r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d</m:t>
                </m:r>
                <m:r>
                  <m:t>k</m:t>
                </m:r>
              </m:sub>
            </m:sSub>
          </m:e>
        </m:nary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a free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of logits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; the product-of-experts decoder that defines ProdLDA was not</w:t>
      </w:r>
      <w:r>
        <w:t xml:space="preserve"> </w:t>
      </w:r>
      <w:r>
        <w:t xml:space="preserve">run. ETM, as run here, has the same prior and amortised encoder and</w:t>
      </w:r>
      <w:r>
        <w:t xml:space="preserve"> </w:t>
      </w:r>
      <w:r>
        <w:t xml:space="preserve">the decoder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p>
          <m:e>
            <m:r>
              <m:t>ρ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word</w:t>
      </w:r>
      <w:r>
        <w:t xml:space="preserve"> </w:t>
      </w:r>
      <w:r>
        <w:t xml:space="preserve">embeddings of dimension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 a mixture likelihood as in</w:t>
      </w:r>
      <w:r>
        <w:t xml:space="preserve"> </w:t>
      </w:r>
      <w:r>
        <w:t xml:space="preserve">(Dieng et al. 2020)</w:t>
      </w:r>
      <w:r>
        <w:t xml:space="preserve">, so the two neural models differ only in the</w:t>
      </w:r>
      <w:r>
        <w:t xml:space="preserve"> </w:t>
      </w:r>
      <w:r>
        <w:t xml:space="preserve">decoder parameterisation (a free topic–word matrix against a rank-</w:t>
      </w:r>
      <m:oMath>
        <m:r>
          <m:t>L</m:t>
        </m:r>
      </m:oMath>
      <w:r>
        <w:t xml:space="preserve"> </w:t>
      </w:r>
      <w:r>
        <w:t xml:space="preserve">factorisation). Miao et al. </w:t>
      </w:r>
      <w:r>
        <w:t xml:space="preserve">(Miao et al. 2016)</w:t>
      </w:r>
      <w:r>
        <w:t xml:space="preserve"> </w:t>
      </w:r>
      <w:r>
        <w:t xml:space="preserve">and</w:t>
      </w:r>
      <w:r>
        <w:t xml:space="preserve"> </w:t>
      </w:r>
      <w:r>
        <w:t xml:space="preserve">Higgins et al. </w:t>
      </w:r>
      <w:r>
        <w:t xml:space="preserve">(Higgins et al. 2017)</w:t>
      </w:r>
      <w:r>
        <w:t xml:space="preserve"> </w:t>
      </w:r>
      <w:r>
        <w:t xml:space="preserve">proposed related VAE-based</w:t>
      </w:r>
      <w:r>
        <w:t xml:space="preserve"> </w:t>
      </w:r>
      <w:r>
        <w:t xml:space="preserve">topic and disentanglement variants. Card et</w:t>
      </w:r>
      <w:r>
        <w:t xml:space="preserve"> </w:t>
      </w:r>
      <w:r>
        <w:t xml:space="preserve">al. </w:t>
      </w:r>
      <w:r>
        <w:t xml:space="preserve">(Card et al. 2018)</w:t>
      </w:r>
      <w:r>
        <w:t xml:space="preserve"> </w:t>
      </w:r>
      <w:r>
        <w:t xml:space="preserve">extended the family with SCHOLAR, a</w:t>
      </w:r>
      <w:r>
        <w:t xml:space="preserve"> </w:t>
      </w:r>
      <w:r>
        <w:t xml:space="preserve">metadata-conditioned neural topic model that recovers the</w:t>
      </w:r>
      <w:r>
        <w:t xml:space="preserve"> </w:t>
      </w:r>
      <w:r>
        <w:t xml:space="preserve">Dirichlet-multinomial-regression idea of Mimno and</w:t>
      </w:r>
      <w:r>
        <w:t xml:space="preserve"> </w:t>
      </w:r>
      <w:r>
        <w:t xml:space="preserve">McCallum </w:t>
      </w:r>
      <w:r>
        <w:t xml:space="preserve">(Mimno and McCallum 2008)</w:t>
      </w:r>
      <w:r>
        <w:t xml:space="preserve"> </w:t>
      </w:r>
      <w:r>
        <w:t xml:space="preserve">in a neural form; we treat SCHOLAR as</w:t>
      </w:r>
      <w:r>
        <w:t xml:space="preserve"> </w:t>
      </w:r>
      <w:r>
        <w:t xml:space="preserve">the natural deep-learning counterpart for future work on the HIDSAG</w:t>
      </w:r>
      <w:r>
        <w:t xml:space="preserve"> </w:t>
      </w:r>
      <w:r>
        <w:t xml:space="preserve">continuous targets. Direct</w:t>
      </w:r>
      <w:r>
        <w:t xml:space="preserve"> </w:t>
      </w:r>
      <w:r>
        <w:t xml:space="preserve">applications of these neural topic models to HSI are rare in the</w:t>
      </w:r>
      <w:r>
        <w:t xml:space="preserve"> </w:t>
      </w:r>
      <w:r>
        <w:t xml:space="preserve">published literature; the small body of work that does compare them</w:t>
      </w:r>
      <w:r>
        <w:t xml:space="preserve"> </w:t>
      </w:r>
      <w:r>
        <w:t xml:space="preserve">on HSI typically does so on a single scene with a single seed,</w:t>
      </w:r>
      <w:r>
        <w:t xml:space="preserve"> </w:t>
      </w:r>
      <w:r>
        <w:t xml:space="preserve">leaving the seed-stability question open.</w:t>
      </w:r>
    </w:p>
    <w:bookmarkEnd w:id="18"/>
    <w:bookmarkStart w:id="19" w:name="beyond-oa-evaluation-in-remote-sensing"/>
    <w:p>
      <w:pPr>
        <w:pStyle w:val="Heading2"/>
      </w:pPr>
      <w:r>
        <w:t xml:space="preserve">Beyond-OA evaluation in remote sensing</w:t>
      </w:r>
    </w:p>
    <w:p>
      <w:pPr>
        <w:pStyle w:val="FirstParagraph"/>
      </w:pPr>
      <w:r>
        <w:t xml:space="preserve">The remote-sensing community has independently recognised that overall</w:t>
      </w:r>
      <w:r>
        <w:t xml:space="preserve"> </w:t>
      </w:r>
      <w:r>
        <w:t xml:space="preserve">accuracy alone is an inadequate measure of model quality. Röder et</w:t>
      </w:r>
      <w:r>
        <w:t xml:space="preserve"> </w:t>
      </w:r>
      <w:r>
        <w:t xml:space="preserve">al. </w:t>
      </w:r>
      <w:r>
        <w:t xml:space="preserve">(Röder et al. 2015)</w:t>
      </w:r>
      <w:r>
        <w:t xml:space="preserve"> </w:t>
      </w:r>
      <w:r>
        <w:t xml:space="preserve">surveyed coherence measures for topic</w:t>
      </w:r>
      <w:r>
        <w:t xml:space="preserve"> </w:t>
      </w:r>
      <w:r>
        <w:t xml:space="preserve">models in NLP and argued that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NPMI</m:t>
            </m:r>
          </m:sub>
        </m:sSub>
      </m:oMath>
      <w:r>
        <w:t xml:space="preserve"> </w:t>
      </w:r>
      <w:r>
        <w:t xml:space="preserve">track human</w:t>
      </w:r>
      <w:r>
        <w:t xml:space="preserve"> </w:t>
      </w:r>
      <w:r>
        <w:t xml:space="preserve">judgements of interpretability more reliably than perplexity. Hubert</w:t>
      </w:r>
      <w:r>
        <w:t xml:space="preserve"> </w:t>
      </w:r>
      <w:r>
        <w:t xml:space="preserve">and Arabie</w:t>
      </w:r>
      <w:r>
        <w:t xml:space="preserve"> </w:t>
      </w:r>
      <w:r>
        <w:t xml:space="preserve">(Hubert and Arabie 1985)</w:t>
      </w:r>
      <w:r>
        <w:t xml:space="preserve"> </w:t>
      </w:r>
      <w:r>
        <w:t xml:space="preserve">formalised the adjusted Rand index for</w:t>
      </w:r>
      <w:r>
        <w:t xml:space="preserve"> </w:t>
      </w:r>
      <w:r>
        <w:t xml:space="preserve">clustering comparisons; Vinh et al. </w:t>
      </w:r>
      <w:r>
        <w:t xml:space="preserve">(Vinh et al. 2010)</w:t>
      </w:r>
      <w:r>
        <w:t xml:space="preserve"> </w:t>
      </w:r>
      <w:r>
        <w:t xml:space="preserve">extended it with information-theoretic complements. Kuhn’s Hungarian</w:t>
      </w:r>
      <w:r>
        <w:t xml:space="preserve"> </w:t>
      </w:r>
      <w:r>
        <w:t xml:space="preserve">algorithm</w:t>
      </w:r>
      <w:r>
        <w:t xml:space="preserve"> </w:t>
      </w:r>
      <w:r>
        <w:t xml:space="preserve">(Kuhn 1955)</w:t>
      </w:r>
      <w:r>
        <w:t xml:space="preserve"> </w:t>
      </w:r>
      <w:r>
        <w:t xml:space="preserve">is the standard tool for solving</w:t>
      </w:r>
      <w:r>
        <w:t xml:space="preserve"> </w:t>
      </w:r>
      <w:r>
        <w:t xml:space="preserve">the label-permutation problem when comparing two clusterings of the</w:t>
      </w:r>
      <w:r>
        <w:t xml:space="preserve"> </w:t>
      </w:r>
      <w:r>
        <w:t xml:space="preserve">same data. Pineau et al. </w:t>
      </w:r>
      <w:r>
        <w:t xml:space="preserve">(</w:t>
      </w:r>
      <w:r>
        <w:t xml:space="preserve">Pineau et al.</w:t>
      </w:r>
      <w:r>
        <w:t xml:space="preserve"> </w:t>
      </w:r>
      <w:r>
        <w:t xml:space="preserve">2021)</w:t>
      </w:r>
      <w:r>
        <w:t xml:space="preserve"> </w:t>
      </w:r>
      <w:r>
        <w:t xml:space="preserve">argued that</w:t>
      </w:r>
      <w:r>
        <w:t xml:space="preserve"> </w:t>
      </w:r>
      <w:r>
        <w:t xml:space="preserve">reproducibility checklists are a precondition for trustworthy</w:t>
      </w:r>
      <w:r>
        <w:t xml:space="preserve"> </w:t>
      </w:r>
      <w:r>
        <w:t xml:space="preserve">beyond-accuracy reporting. Felzenszwalb and Huttenlocher</w:t>
      </w:r>
      <w:r>
        <w:t xml:space="preserve"> </w:t>
      </w:r>
      <w:r>
        <w:t xml:space="preserve">(Felzenszwalb and Huttenlocher 2004)</w:t>
      </w:r>
      <w:r>
        <w:t xml:space="preserve"> </w:t>
      </w:r>
      <w:r>
        <w:t xml:space="preserve">and Achanta et al. </w:t>
      </w:r>
      <w:r>
        <w:t xml:space="preserve">(Achanta et al. 2012)</w:t>
      </w:r>
      <w:r>
        <w:t xml:space="preserve"> </w:t>
      </w:r>
      <w:r>
        <w:t xml:space="preserve">provide spatial-segmentation baselines that</w:t>
      </w:r>
      <w:r>
        <w:t xml:space="preserve"> </w:t>
      </w:r>
      <w:r>
        <w:t xml:space="preserve">serve as cross-method-agreement anchors in the framework below.</w:t>
      </w:r>
    </w:p>
    <w:bookmarkEnd w:id="19"/>
    <w:bookmarkEnd w:id="20"/>
    <w:bookmarkStart w:id="23" w:name="sec:framework"/>
    <w:p>
      <w:pPr>
        <w:pStyle w:val="Heading1"/>
      </w:pPr>
      <w:r>
        <w:t xml:space="preserve">Twelve-axis evaluation framework</w:t>
      </w:r>
    </w:p>
    <w:bookmarkStart w:id="21" w:name="subsec:canonical"/>
    <w:p>
      <w:pPr>
        <w:pStyle w:val="Heading2"/>
      </w:pPr>
      <w:r>
        <w:t xml:space="preserve">Canonical fit</w:t>
      </w:r>
    </w:p>
    <w:p>
      <w:pPr>
        <w:pStyle w:val="FirstParagraph"/>
      </w:pPr>
      <w:r>
        <w:t xml:space="preserve">All twelve axes are computed against a single, deterministic</w:t>
      </w:r>
      <w:r>
        <w:t xml:space="preserve"> </w:t>
      </w:r>
      <w:r>
        <w:rPr>
          <w:i/>
          <w:iCs/>
        </w:rPr>
        <w:t xml:space="preserve">canonical fit</w:t>
      </w:r>
      <w:r>
        <w:t xml:space="preserve"> </w:t>
      </w:r>
      <w:r>
        <w:t xml:space="preserve">that we describe once and refer back to from each</w:t>
      </w:r>
      <w:r>
        <w:t xml:space="preserve"> </w:t>
      </w:r>
      <w:r>
        <w:t xml:space="preserve">axis. The canonical fit operates as follows.</w:t>
      </w:r>
    </w:p>
    <w:p>
      <w:pPr>
        <w:pStyle w:val="BodyText"/>
      </w:pPr>
      <w:r>
        <w:rPr>
          <w:i/>
          <w:iCs/>
        </w:rPr>
        <w:t xml:space="preserve">Data slice.</w:t>
      </w:r>
      <w:r>
        <w:t xml:space="preserve"> </w:t>
      </w:r>
      <w:r>
        <w:t xml:space="preserve">For each labelled scene, we sample</w:t>
      </w:r>
      <w:r>
        <w:t xml:space="preserve"> </w:t>
      </w:r>
      <m:oMath>
        <m:r>
          <m:t>220</m:t>
        </m:r>
      </m:oMath>
      <w:r>
        <w:t xml:space="preserve"> </w:t>
      </w:r>
      <w:r>
        <w:t xml:space="preserve">pixels</w:t>
      </w:r>
      <w:r>
        <w:t xml:space="preserve"> </w:t>
      </w:r>
      <w:r>
        <w:t xml:space="preserve">per class without replacement from the labelled-pixel mask, using</w:t>
      </w:r>
      <w:r>
        <w:t xml:space="preserve"> </w:t>
      </w:r>
      <w:r>
        <w:t xml:space="preserve">NumPy’s</w:t>
      </w:r>
      <w:r>
        <w:t xml:space="preserve"> </w:t>
      </w:r>
      <w:r>
        <w:rPr>
          <w:rStyle w:val="VerbatimChar"/>
        </w:rPr>
        <w:t xml:space="preserve">default_rng(42)</w:t>
      </w:r>
      <w:r>
        <w:t xml:space="preserve">. Pavia U (9 classes) yields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1980</m:t>
        </m:r>
      </m:oMath>
      <w:r>
        <w:t xml:space="preserve"> </w:t>
      </w:r>
      <w:r>
        <w:t xml:space="preserve">documents; Indian Pines (16 classes) yields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2812</m:t>
        </m:r>
      </m:oMath>
      <w:r>
        <w:t xml:space="preserve">, sampling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220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class size</m:t>
        </m:r>
        <m:r>
          <m:rPr>
            <m:sty m:val="p"/>
          </m:rPr>
          <m:t>)</m:t>
        </m:r>
      </m:oMath>
      <w:r>
        <w:t xml:space="preserve"> </w:t>
      </w:r>
      <w:r>
        <w:t xml:space="preserve">per class and retaining all 16 classes; Salinas</w:t>
      </w:r>
      <w:r>
        <w:t xml:space="preserve"> </w:t>
      </w:r>
      <w:r>
        <w:t xml:space="preserve">yields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3520</m:t>
        </m:r>
      </m:oMath>
      <w:r>
        <w:t xml:space="preserve">; Salinas-A (6 classes) yields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1320</m:t>
        </m:r>
      </m:oMath>
      <w:r>
        <w:t xml:space="preserve">; KSC</w:t>
      </w:r>
      <w:r>
        <w:t xml:space="preserve"> </w:t>
      </w:r>
      <w:r>
        <w:t xml:space="preserve">(13 classes) yields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2686</m:t>
        </m:r>
      </m:oMath>
      <w:r>
        <w:t xml:space="preserve">; Botswana (14 classes) yields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2775</m:t>
        </m:r>
      </m:oMath>
      <w:r>
        <w:t xml:space="preserve">. For each HIDSAG subset, the corpus is constructed</w:t>
      </w:r>
      <w:r>
        <w:t xml:space="preserve"> </w:t>
      </w:r>
      <w:r>
        <w:t xml:space="preserve">from the public</w:t>
      </w:r>
      <w:r>
        <w:t xml:space="preserve"> </w:t>
      </w:r>
      <w:r>
        <w:rPr>
          <w:rStyle w:val="VerbatimChar"/>
        </w:rPr>
        <w:t xml:space="preserve">hidsag_region_documents.npz</w:t>
      </w:r>
      <w:r>
        <w:t xml:space="preserve"> </w:t>
      </w:r>
      <w:r>
        <w:t xml:space="preserve">bundle,</w:t>
      </w:r>
      <w:r>
        <w:t xml:space="preserve"> </w:t>
      </w:r>
      <w:r>
        <w:t xml:space="preserve">yielding 19-target × 5-subset corpora over the</w:t>
      </w:r>
      <w:r>
        <w:t xml:space="preserve"> </w:t>
      </w:r>
      <w:r>
        <w:rPr>
          <w:rStyle w:val="VerbatimChar"/>
        </w:rPr>
        <w:t xml:space="preserve">swir_low</w:t>
      </w:r>
      <w:r>
        <w:t xml:space="preserve"> </w:t>
      </w:r>
      <w:r>
        <w:t xml:space="preserve">modality.</w:t>
      </w:r>
    </w:p>
    <w:p>
      <w:pPr>
        <w:pStyle w:val="BodyText"/>
      </w:pPr>
      <w:r>
        <w:rPr>
          <w:i/>
          <w:iCs/>
        </w:rPr>
        <w:t xml:space="preserve">Tokenisation.</w:t>
      </w:r>
      <w:r>
        <w:t xml:space="preserve"> </w:t>
      </w:r>
      <w:r>
        <w:t xml:space="preserve">Each pixel spectrum is min–max normalised</w:t>
      </w:r>
      <w:r>
        <w:t xml:space="preserve"> </w:t>
      </w:r>
      <w:r>
        <w:t xml:space="preserve">across bands and quantised into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levels, producing</w:t>
      </w:r>
      <w:r>
        <w:t xml:space="preserve"> </w:t>
      </w:r>
      <w:r>
        <w:t xml:space="preserve">integer counts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. The high-rate</w:t>
      </w:r>
      <w:r>
        <w:t xml:space="preserve"> </w:t>
      </w:r>
      <w:r>
        <w:t xml:space="preserve">uniform-quantisation distortion bound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12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 </w:t>
      </w:r>
      <w:r>
        <w:t xml:space="preserve">(Gersho and Gray 1992)</w:t>
      </w:r>
      <w:r>
        <w:t xml:space="preserve"> </w:t>
      </w:r>
      <w:r>
        <w:t xml:space="preserve">therefore yields</w:t>
      </w:r>
      <w:r>
        <w:t xml:space="preserve"> </w:t>
      </w:r>
      <w:r>
        <w:t xml:space="preserve">an rms wordification noise below</w:t>
      </w:r>
      <w:r>
        <w:t xml:space="preserve"> </w:t>
      </w:r>
      <m:oMath>
        <m:r>
          <m:t>0.025</m:t>
        </m:r>
      </m:oMath>
      <w:r>
        <w:t xml:space="preserve"> </w:t>
      </w:r>
      <w:r>
        <w:t xml:space="preserve">in normalised reflectance</w:t>
      </w:r>
      <w:r>
        <w:t xml:space="preserve"> </w:t>
      </w:r>
      <w:r>
        <w:t xml:space="preserve">units. The resulting document-term matrix has shape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band count (200 for Indian Pines, 204 for</w:t>
      </w:r>
      <w:r>
        <w:t xml:space="preserve"> </w:t>
      </w:r>
      <w:r>
        <w:t xml:space="preserve">Salinas/Salinas-A, 103 for Pavia U, 176 for KSC, 145 for Botswana).</w:t>
      </w:r>
    </w:p>
    <w:p>
      <w:pPr>
        <w:pStyle w:val="BodyText"/>
      </w:pPr>
      <w:r>
        <w:rPr>
          <w:i/>
          <w:iCs/>
        </w:rPr>
        <w:t xml:space="preserve">Model.</w:t>
      </w:r>
      <w:r>
        <w:t xml:space="preserve"> </w:t>
      </w:r>
      <w:r>
        <w:t xml:space="preserve">Online variational Bayes LDA</w:t>
      </w:r>
      <w:r>
        <w:t xml:space="preserve"> </w:t>
      </w:r>
      <w:r>
        <w:t xml:space="preserve">(Hoffman et al. 2010)</w:t>
      </w:r>
      <w:r>
        <w:t xml:space="preserve">, scikit-learn implementation</w:t>
      </w:r>
      <w:r>
        <w:t xml:space="preserve"> </w:t>
      </w:r>
      <w:r>
        <w:t xml:space="preserve">(Pedregosa et al. 2011)</w:t>
      </w:r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, random seed</w:t>
      </w:r>
      <w:r>
        <w:t xml:space="preserve"> </w:t>
      </w:r>
      <m:oMath>
        <m:r>
          <m:t>42</m:t>
        </m:r>
      </m:oMath>
      <w:r>
        <w:t xml:space="preserve">, learning offset</w:t>
      </w:r>
      <w:r>
        <w:t xml:space="preserve"> </w:t>
      </w:r>
      <m:oMath>
        <m:r>
          <m:t>10.0</m:t>
        </m:r>
      </m:oMath>
      <w:r>
        <w:t xml:space="preserve">,</w:t>
      </w:r>
      <w:r>
        <w:t xml:space="preserve"> </w:t>
      </w:r>
      <w:r>
        <w:t xml:space="preserve">learning decay</w:t>
      </w:r>
      <w:r>
        <w:t xml:space="preserve"> </w:t>
      </w:r>
      <m:oMath>
        <m:r>
          <m:t>0.7</m:t>
        </m:r>
      </m:oMath>
      <w:r>
        <w:t xml:space="preserve">. The resulting basis</w:t>
      </w:r>
      <w:r>
        <w:t xml:space="preserve"> </w:t>
      </w:r>
      <m:oMath>
        <m:r>
          <m:t>ϕ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r>
              <m:t>B</m:t>
            </m:r>
          </m:sup>
        </m:sSubSup>
      </m:oMath>
      <w:r>
        <w:t xml:space="preserve"> </w:t>
      </w:r>
      <w:r>
        <w:t xml:space="preserve">and posterior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  <m:sup>
            <m:r>
              <m:t>D</m:t>
            </m:r>
            <m:r>
              <m:rPr>
                <m:sty m:val="p"/>
              </m:rPr>
              <m:t>×</m:t>
            </m:r>
            <m:r>
              <m:t>K</m:t>
            </m:r>
          </m:sup>
        </m:sSubSup>
      </m:oMath>
      <w:r>
        <w:t xml:space="preserve"> </w:t>
      </w:r>
      <w:r>
        <w:t xml:space="preserve">are</w:t>
      </w:r>
      <w:r>
        <w:t xml:space="preserve"> </w:t>
      </w:r>
      <w:r>
        <w:t xml:space="preserve">serialised as a deterministic JSON blob plus a binary</w:t>
      </w:r>
      <w:r>
        <w:t xml:space="preserve"> </w:t>
      </w:r>
      <w:r>
        <w:rPr>
          <w:rStyle w:val="VerbatimChar"/>
        </w:rPr>
        <w:t xml:space="preserve">theta_grid.bin</w:t>
      </w:r>
      <w:r>
        <w:t xml:space="preserve"> </w:t>
      </w:r>
      <w:r>
        <w:t xml:space="preserve">(float32</w:t>
      </w:r>
      <w: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K</m:t>
        </m:r>
      </m:oMath>
      <w:r>
        <w:t xml:space="preserve">) per scene.</w:t>
      </w:r>
    </w:p>
    <w:bookmarkEnd w:id="21"/>
    <w:bookmarkStart w:id="22" w:name="the-twelve-axes"/>
    <w:p>
      <w:pPr>
        <w:pStyle w:val="Heading2"/>
      </w:pPr>
      <w:r>
        <w:t xml:space="preserve">The twelve axes</w:t>
      </w:r>
    </w:p>
    <w:p>
      <w:pPr>
        <w:pStyle w:val="FirstParagraph"/>
      </w:pPr>
      <w:r>
        <w:t xml:space="preserve">Each axis returns a single per-scene scalar (or a small vector) that</w:t>
      </w:r>
      <w:r>
        <w:t xml:space="preserve"> </w:t>
      </w:r>
      <w:r>
        <w:t xml:space="preserve">can be reported in a table; jointly the twelve scalars constitute a</w:t>
      </w:r>
      <w:r>
        <w:t xml:space="preserve"> </w:t>
      </w:r>
      <w:r>
        <w:rPr>
          <w:i/>
          <w:iCs/>
        </w:rPr>
        <w:t xml:space="preserve">model card</w:t>
      </w:r>
      <w:r>
        <w:t xml:space="preserve"> </w:t>
      </w:r>
      <w:r>
        <w:t xml:space="preserve">for the topic basis on that scene.</w:t>
      </w:r>
      <w:r>
        <w:t xml:space="preserve"> </w:t>
      </w:r>
      <w:r>
        <w:t xml:space="preserve">Table </w:t>
      </w:r>
      <w:hyperlink w:anchor="tab:axes">
        <w:r>
          <w:rPr>
            <w:rStyle w:val="Hyperlink"/>
          </w:rPr>
          <w:t xml:space="preserve">[tab:axes]</w:t>
        </w:r>
      </w:hyperlink>
      <w:r>
        <w:t xml:space="preserve"> </w:t>
      </w:r>
      <w:r>
        <w:t xml:space="preserve">lists the axes and the metric returned by each.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macro-F1; paired difference;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NPMI</m:t>
                  </m:r>
                </m:sub>
              </m:sSub>
            </m:oMath>
            <w:r>
              <w:t xml:space="preserve">, U-Mass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std ARI over 5 seeds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ARI(</w:t>
            </w:r>
            <m:oMath>
              <m:r>
                <m:t>K</m:t>
              </m:r>
            </m:oMath>
            <w:r>
              <w:t xml:space="preserve">) curve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Band-mask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ARI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Cross-method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Topic–label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</w:t>
            </w:r>
            <m:oMath>
              <m:r>
                <m:t>L</m:t>
              </m:r>
              <m:r>
                <m:rPr>
                  <m:sty m:val="p"/>
                </m:rPr>
                <m:t>∣</m:t>
              </m:r>
              <m:r>
                <m:t>t</m:t>
              </m:r>
            </m:oMath>
            <w:r>
              <w:t xml:space="preserve">), KL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Per-topic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same as 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Preprocessing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 across recipes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Cross-scene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ARI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Rate–distortion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MSE(</w:t>
            </w:r>
            <m:oMath>
              <m:r>
                <m:t>θ</m:t>
              </m:r>
            </m:oMath>
            <w:r>
              <w:t xml:space="preserve">) vs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cosine; method rank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bookmarkStart w:id="36" w:name="sec:method"/>
    <w:p>
      <w:pPr>
        <w:pStyle w:val="Heading1"/>
      </w:pPr>
      <w:r>
        <w:t xml:space="preserve">Method: per-axis details</w:t>
      </w:r>
    </w:p>
    <w:bookmarkStart w:id="24" w:name="subsec:b1"/>
    <w:p>
      <w:pPr>
        <w:pStyle w:val="Heading2"/>
      </w:pPr>
      <w:r>
        <w:t xml:space="preserve">F-1: classification across method families</w:t>
      </w:r>
    </w:p>
    <w:p>
      <w:pPr>
        <w:pStyle w:val="FirstParagraph"/>
      </w:pPr>
      <w:r>
        <w:t xml:space="preserve">The classical evaluation reports overall accuracy (OA) or kappa</w:t>
      </w:r>
      <w:r>
        <w:t xml:space="preserve"> </w:t>
      </w:r>
      <w:r>
        <w:t xml:space="preserve">averaged over a small number of train/test folds. We instead fit a</w:t>
      </w:r>
      <w:r>
        <w:t xml:space="preserve"> </w:t>
      </w:r>
      <w:r>
        <w:t xml:space="preserve">hierarchical Bayesian model over scene, fold, and method, following</w:t>
      </w:r>
      <w:r>
        <w:t xml:space="preserve"> </w:t>
      </w:r>
      <w:r>
        <w:t xml:space="preserve">the structure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score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ϵ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σ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ranges over methods,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over scenes,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folds, and</w:t>
      </w:r>
      <w:r>
        <w:t xml:space="preserve"> </w:t>
      </w:r>
      <m:oMath>
        <m:r>
          <m:rPr>
            <m:nor/>
            <m:sty m:val="p"/>
          </m:rPr>
          <m:t>score</m:t>
        </m:r>
      </m:oMath>
      <w:r>
        <w:t xml:space="preserve"> </w:t>
      </w:r>
      <w:r>
        <w:t xml:space="preserve">is the fold-level macro-F1. Sampling is performed with NUTS</w:t>
      </w:r>
      <w:r>
        <w:t xml:space="preserve"> </w:t>
      </w:r>
      <w:r>
        <w:t xml:space="preserve">(1000 draws, 1000 tune, 2 chains) on the labelled-scene block; the</w:t>
      </w:r>
      <w:r>
        <w:t xml:space="preserve"> </w:t>
      </w:r>
      <w:r>
        <w:t xml:space="preserve">HIDSAG block uses a parallel model with subsets in place of scenes and</w:t>
      </w:r>
      <w:r>
        <w:t xml:space="preserve"> </w:t>
      </w:r>
      <w:r>
        <w:t xml:space="preserve">targets in place of folds. The archived fits record no convergence</w:t>
      </w:r>
      <w:r>
        <w:t xml:space="preserve"> </w:t>
      </w:r>
      <w:r>
        <w:t xml:space="preserve">diagnostic such as the rank-normalised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of Vehtari et</w:t>
      </w:r>
      <w:r>
        <w:t xml:space="preserve"> </w:t>
      </w:r>
      <w:r>
        <w:t xml:space="preserve">al. </w:t>
      </w:r>
      <w:r>
        <w:t xml:space="preserve">(Vehtari et al. 2021)</w:t>
      </w:r>
      <w:r>
        <w:t xml:space="preserve">. The model fixes no reference scene, so</w:t>
      </w:r>
      <w:r>
        <w:t xml:space="preserve"> </w:t>
      </w:r>
      <m:oMath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identified only up to the scene offsets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: every</w:t>
      </w:r>
      <w:r>
        <w:t xml:space="preserve"> </w:t>
      </w:r>
      <m:oMath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shares a common shift (about</w:t>
      </w:r>
      <w:r>
        <w:t xml:space="preserve"> </w:t>
      </w:r>
      <m:oMath>
        <m:r>
          <m:rPr>
            <m:sty m:val="p"/>
          </m:rPr>
          <m:t>−</m:t>
        </m:r>
        <m:r>
          <m:t>0.17</m:t>
        </m:r>
      </m:oMath>
      <w:r>
        <w:t xml:space="preserve"> </w:t>
      </w:r>
      <w:r>
        <w:t xml:space="preserve">from the observed mean on</w:t>
      </w:r>
      <w:r>
        <w:t xml:space="preserve"> </w:t>
      </w:r>
      <w:r>
        <w:t xml:space="preserve">the labelled block) and a common posterior spread (about 0.19), and</w:t>
      </w:r>
      <w:r>
        <w:t xml:space="preserve"> </w:t>
      </w:r>
      <w:r>
        <w:t xml:space="preserve">only differences between methods are identified. We therefore report</w:t>
      </w:r>
      <w:r>
        <w:t xml:space="preserve"> </w:t>
      </w:r>
      <w:r>
        <w:t xml:space="preserve">the observed mean macro-F1 of each method, its paired difference from</w:t>
      </w:r>
      <w:r>
        <w:t xml:space="preserve"> </w:t>
      </w:r>
      <w:r>
        <w:t xml:space="preserve">the raw-spectrum baseline over the cells (scene and fold, or subset</w:t>
      </w:r>
      <w:r>
        <w:t xml:space="preserve"> </w:t>
      </w:r>
      <w:r>
        <w:t xml:space="preserve">and target) with a 94% bootstrap interval (</w:t>
      </w:r>
      <m:oMath>
        <m:r>
          <m:t>B</m:t>
        </m:r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t xml:space="preserve">resamples of</w:t>
      </w:r>
      <w:r>
        <w:t xml:space="preserve"> </w:t>
      </w:r>
      <w:r>
        <w:t xml:space="preserve">the paired differences), and the pairwise probability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derived from the joint posterior. The model treats</w:t>
      </w:r>
      <w:r>
        <w:t xml:space="preserve"> </w:t>
      </w:r>
      <w:r>
        <w:t xml:space="preserve">the residuals of different methods in the same cell as independent, so</w:t>
      </w:r>
      <w:r>
        <w:t xml:space="preserve"> </w:t>
      </w:r>
      <w:r>
        <w:t xml:space="preserve">its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does not use the pairing; the folds of a scene</w:t>
      </w:r>
      <w:r>
        <w:t xml:space="preserve"> </w:t>
      </w:r>
      <w:r>
        <w:t xml:space="preserve">share training pixels, so the paired intervals are in turn narrower</w:t>
      </w:r>
      <w:r>
        <w:t xml:space="preserve"> </w:t>
      </w:r>
      <w:r>
        <w:t xml:space="preserve">than a resampling of independent cells would give. Five methods</w:t>
      </w:r>
      <w:r>
        <w:t xml:space="preserve"> </w:t>
      </w:r>
      <w:r>
        <w:t xml:space="preserve">populate the labelled block:</w:t>
      </w:r>
      <w:r>
        <w:t xml:space="preserve"> </w:t>
      </w:r>
      <w:r>
        <w:rPr>
          <w:rStyle w:val="VerbatimChar"/>
        </w:rPr>
        <w:t xml:space="preserve">pca_K_logistic</w:t>
      </w:r>
      <w:r>
        <w:t xml:space="preserve"> </w:t>
      </w:r>
      <w:r>
        <w:t xml:space="preserve">(PCA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components followed by multinomial logistic regression),</w:t>
      </w:r>
      <w:r>
        <w:t xml:space="preserve"> </w:t>
      </w:r>
      <w:r>
        <w:rPr>
          <w:rStyle w:val="VerbatimChar"/>
        </w:rPr>
        <w:t xml:space="preserve">raw_logistic</w:t>
      </w:r>
      <w:r>
        <w:t xml:space="preserve"> </w:t>
      </w:r>
      <w:r>
        <w:t xml:space="preserve">(multinomial logistic regression on the raw</w:t>
      </w:r>
      <w:r>
        <w:t xml:space="preserve"> </w:t>
      </w:r>
      <w:r>
        <w:t xml:space="preserve">spectrum),</w:t>
      </w:r>
      <w:r>
        <w:t xml:space="preserve"> </w:t>
      </w:r>
      <w:r>
        <w:rPr>
          <w:rStyle w:val="VerbatimChar"/>
        </w:rPr>
        <w:t xml:space="preserve">theta_logistic</w:t>
      </w:r>
      <w:r>
        <w:t xml:space="preserve"> </w:t>
      </w:r>
      <w:r>
        <w:t xml:space="preserve">(logistic on the topic posterior</w:t>
      </w:r>
      <w:r>
        <w:t xml:space="preserve"> </w:t>
      </w:r>
      <m:oMath>
        <m:r>
          <m:t>θ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topic_routed_hard</w:t>
      </w:r>
      <w:r>
        <w:t xml:space="preserve"> </w:t>
      </w:r>
      <w:r>
        <w:t xml:space="preserve">(hard-gated mixture of</w:t>
      </w:r>
      <w:r>
        <w:t xml:space="preserve"> </w:t>
      </w:r>
      <w:r>
        <w:t xml:space="preserve">per-topic logistic experts), and</w:t>
      </w:r>
      <w:r>
        <w:t xml:space="preserve"> </w:t>
      </w:r>
      <w:r>
        <w:rPr>
          <w:rStyle w:val="VerbatimChar"/>
        </w:rPr>
        <w:t xml:space="preserve">topic_routed_soft</w:t>
      </w:r>
      <w:r>
        <w:t xml:space="preserve"> </w:t>
      </w:r>
      <w:r>
        <w:t xml:space="preserve">(soft-gated mixture). The HIDSAG block uses an analogous five-method</w:t>
      </w:r>
      <w:r>
        <w:t xml:space="preserve"> </w:t>
      </w:r>
      <w:r>
        <w:t xml:space="preserve">slate.</w:t>
      </w:r>
    </w:p>
    <w:bookmarkEnd w:id="24"/>
    <w:bookmarkStart w:id="25" w:name="f-2-topicword-coherence"/>
    <w:p>
      <w:pPr>
        <w:pStyle w:val="Heading2"/>
      </w:pPr>
      <w:r>
        <w:t xml:space="preserve">F-2: topic–word coherence</w:t>
      </w:r>
    </w:p>
    <w:p>
      <w:pPr>
        <w:pStyle w:val="FirstParagraph"/>
      </w:pPr>
      <w:r>
        <w:t xml:space="preserve">We compute three coherence measures per scene: the sliding-window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measure of Röder et al. </w:t>
      </w:r>
      <w:r>
        <w:t xml:space="preserve">(Röder et al. 2015)</w:t>
      </w:r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NPMI</m:t>
            </m:r>
          </m:sub>
        </m:sSub>
      </m:oMath>
      <w:r>
        <w:t xml:space="preserve"> </w:t>
      </w:r>
      <w:r>
        <w:t xml:space="preserve">(normalised pointwise mutual information,</w:t>
      </w:r>
      <w:r>
        <w:t xml:space="preserve"> </w:t>
      </w:r>
      <w:r>
        <w:t xml:space="preserve">following Newman et al. </w:t>
      </w:r>
      <w:r>
        <w:t xml:space="preserve">(Newman et al. 2010)</w:t>
      </w:r>
      <w:r>
        <w:t xml:space="preserve"> </w:t>
      </w:r>
      <w:r>
        <w:t xml:space="preserve">and the</w:t>
      </w:r>
      <w:r>
        <w:t xml:space="preserve"> </w:t>
      </w:r>
      <w:r>
        <w:t xml:space="preserve">NPMI formulation surveyed in</w:t>
      </w:r>
      <w:r>
        <w:t xml:space="preserve"> </w:t>
      </w:r>
      <w:r>
        <w:t xml:space="preserve">(Röder et al. 2015)</w:t>
      </w:r>
      <w:r>
        <w:t xml:space="preserve">), and the</w:t>
      </w:r>
      <w:r>
        <w:t xml:space="preserve"> </w:t>
      </w:r>
      <w:r>
        <w:t xml:space="preserve">intrinsic U-Mass measure of Mimno et al. </w:t>
      </w:r>
      <w:r>
        <w:t xml:space="preserve">(Mimno et al. 2011)</w:t>
      </w:r>
      <w:r>
        <w:t xml:space="preserve">.</w:t>
      </w:r>
      <w:r>
        <w:t xml:space="preserve"> </w:t>
      </w:r>
      <w:r>
        <w:t xml:space="preserve">The reference corpus for the co-occurrence estimate is the</w:t>
      </w:r>
      <w:r>
        <w:t xml:space="preserve"> </w:t>
      </w:r>
      <w:r>
        <w:t xml:space="preserve">canonical document-term matrix of the same scene. Coherence is</w:t>
      </w:r>
      <w:r>
        <w:t xml:space="preserve"> </w:t>
      </w:r>
      <w:r>
        <w:t xml:space="preserve">reported with top-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words per topic, averaged 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topics.</w:t>
      </w:r>
    </w:p>
    <w:bookmarkEnd w:id="25"/>
    <w:bookmarkStart w:id="26" w:name="f-3-seed-stability"/>
    <w:p>
      <w:pPr>
        <w:pStyle w:val="Heading2"/>
      </w:pPr>
      <w:r>
        <w:t xml:space="preserve">F-3: seed stability</w:t>
      </w:r>
    </w:p>
    <w:p>
      <w:pPr>
        <w:pStyle w:val="FirstParagraph"/>
      </w:pPr>
      <w:r>
        <w:t xml:space="preserve">For each labelled scene, we fit ProdLDA and ETM (in the form stated in</w:t>
      </w:r>
      <w:r>
        <w:t xml:space="preserve"> </w:t>
      </w:r>
      <w:r>
        <w:t xml:space="preserve">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) with five random</w:t>
      </w:r>
      <w:r>
        <w:t xml:space="preserve"> </w:t>
      </w:r>
      <w:r>
        <w:t xml:space="preserve">seeds,</w:t>
      </w:r>
      <w:r>
        <w:t xml:space="preserve"> </w:t>
      </w:r>
      <m:oMath>
        <m:r>
          <m:rPr>
            <m:nor/>
            <m:sty m:val="p"/>
          </m:rPr>
          <m:t>seed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 at the canonical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with the settings of Section </w:t>
      </w:r>
      <w:hyperlink w:anchor="subsec:hyper">
        <w:r>
          <w:rPr>
            <w:rStyle w:val="Hyperlink"/>
          </w:rPr>
          <w:t xml:space="preserve">5.3</w:t>
        </w:r>
      </w:hyperlink>
      <w:r>
        <w:t xml:space="preserve">, holding the data slice</w:t>
      </w:r>
      <w:r>
        <w:t xml:space="preserve"> </w:t>
      </w:r>
      <w:r>
        <w:t xml:space="preserve">fixed. For each</w:t>
      </w:r>
      <w:r>
        <w:t xml:space="preserve"> </w:t>
      </w:r>
      <w:r>
        <w:t xml:space="preserve">(method, seed) we compute (a) KMeans-on-</w:t>
      </w:r>
      <m:oMath>
        <m:r>
          <m:t>θ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clusters and</w:t>
      </w:r>
      <w:r>
        <w:t xml:space="preserve"> </w:t>
      </w:r>
      <w:r>
        <w:t xml:space="preserve">report ARI against the ground-truth label, (b) NMI against the</w:t>
      </w:r>
      <w:r>
        <w:t xml:space="preserve"> </w:t>
      </w:r>
      <w:r>
        <w:t xml:space="preserve">ground-truth label, and (c)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coherence on the inferred basis.</w:t>
      </w:r>
      <w:r>
        <w:t xml:space="preserve"> </w:t>
      </w:r>
      <w:r>
        <w:t xml:space="preserve">The aggregate per-method statistic is mean </w:t>
      </w:r>
      <m:oMath>
        <m:r>
          <m:rPr>
            <m:sty m:val="p"/>
          </m:rPr>
          <m:t>±</m:t>
        </m:r>
      </m:oMath>
      <w:r>
        <w:t xml:space="preserve"> std ARI over the five</w:t>
      </w:r>
      <w:r>
        <w:t xml:space="preserve"> </w:t>
      </w:r>
      <w:r>
        <w:t xml:space="preserve">seeds, plus the same for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. LDA enters this comparison through its</w:t>
      </w:r>
      <w:r>
        <w:t xml:space="preserve"> </w:t>
      </w:r>
      <w:r>
        <w:t xml:space="preserve">single-seed head-to-head fit on the same data slice. The seed stability</w:t>
      </w:r>
      <w:r>
        <w:t xml:space="preserve"> </w:t>
      </w:r>
      <w:r>
        <w:t xml:space="preserve">of the LDA topic basis itself is measured by refitting LDA across 15</w:t>
      </w:r>
      <w:r>
        <w:t xml:space="preserve"> </w:t>
      </w:r>
      <w:r>
        <w:t xml:space="preserve">seeds and matching topic vectors between seed pairs with the</w:t>
      </w:r>
      <w:r>
        <w:t xml:space="preserve"> </w:t>
      </w:r>
      <w:r>
        <w:t xml:space="preserve">Hungarian-matched cosine of F-8 (§</w:t>
      </w:r>
      <w:hyperlink w:anchor="sec:f8">
        <w:r>
          <w:rPr>
            <w:rStyle w:val="Hyperlink"/>
          </w:rPr>
          <w:t xml:space="preserve">4.8</w:t>
        </w:r>
      </w:hyperlink>
      <w:r>
        <w:t xml:space="preserve">), which takes the place</w:t>
      </w:r>
      <w:r>
        <w:t xml:space="preserve"> </w:t>
      </w:r>
      <w:r>
        <w:t xml:space="preserve">of the topic-overlap score in the multi-seed stability test of Greene,</w:t>
      </w:r>
      <w:r>
        <w:t xml:space="preserve"> </w:t>
      </w:r>
      <w:r>
        <w:t xml:space="preserve">O’Callaghan and Cunningham</w:t>
      </w:r>
      <w:r>
        <w:t xml:space="preserve"> </w:t>
      </w:r>
      <w:r>
        <w:t xml:space="preserve">(Greene et al. 2014)</w:t>
      </w:r>
      <w:r>
        <w:t xml:space="preserve">; these per-scene</w:t>
      </w:r>
      <w:r>
        <w:t xml:space="preserve"> </w:t>
      </w:r>
      <w:r>
        <w:t xml:space="preserve">measurements are released in .</w:t>
      </w:r>
    </w:p>
    <w:bookmarkEnd w:id="26"/>
    <w:bookmarkStart w:id="27" w:name="f-4-capacity-sensitivity"/>
    <w:p>
      <w:pPr>
        <w:pStyle w:val="Heading2"/>
      </w:pPr>
      <w:r>
        <w:t xml:space="preserve">F-4: capacity sensitivity</w:t>
      </w:r>
    </w:p>
    <w:p>
      <w:pPr>
        <w:pStyle w:val="FirstParagraph"/>
      </w:pPr>
      <w:r>
        <w:t xml:space="preserve">We sweep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over the grid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with the</w:t>
      </w:r>
      <w:r>
        <w:t xml:space="preserve"> </w:t>
      </w:r>
      <w:r>
        <w:t xml:space="preserve">canonical hyperparameters and report ARI(canonical fit, KMeans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) against ground-truth label. The grid is set in</w:t>
      </w:r>
      <w:r>
        <w:t xml:space="preserve"> </w:t>
      </w:r>
      <w:r>
        <w:rPr>
          <w:rStyle w:val="VerbatimChar"/>
        </w:rPr>
        <w:t xml:space="preserve">data-pipeline/build_lda_sweep.py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K_grid = [4, 6, 8, 10, 12, 16]</w:t>
      </w:r>
      <w:r>
        <w:t xml:space="preserve"> </w:t>
      </w:r>
      <w:r>
        <w:t xml:space="preserve">and is mirrored by the</w:t>
      </w:r>
      <w:r>
        <w:t xml:space="preserve"> </w:t>
      </w:r>
      <w:r>
        <w:rPr>
          <w:rStyle w:val="VerbatimChar"/>
        </w:rPr>
        <w:t xml:space="preserve">lda_sweep/&lt;scene&gt;.json</w:t>
      </w:r>
      <w:r>
        <w:t xml:space="preserve"> </w:t>
      </w:r>
      <w:r>
        <w:t xml:space="preserve">payloads consumed by the F-4 panel. The curve diagnoses</w:t>
      </w:r>
      <w:r>
        <w:t xml:space="preserve"> </w:t>
      </w:r>
      <w:r>
        <w:rPr>
          <w:i/>
          <w:iCs/>
        </w:rPr>
        <w:t xml:space="preserve">capacity over-/under-allocation</w:t>
      </w:r>
      <w:r>
        <w:t xml:space="preserve">: capacities below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</m:oMath>
      <w:r>
        <w:t xml:space="preserve"> </w:t>
      </w:r>
      <w:r>
        <w:t xml:space="preserve">force topic merging and lower ARI; capacities</w:t>
      </w:r>
      <w:r>
        <w:t xml:space="preserve"> </w:t>
      </w:r>
      <w:r>
        <w:t xml:space="preserve">well above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</m:oMath>
      <w:r>
        <w:t xml:space="preserve"> </w:t>
      </w:r>
      <w:r>
        <w:t xml:space="preserve">cause topic splitting and a different</w:t>
      </w:r>
      <w:r>
        <w:t xml:space="preserve"> </w:t>
      </w:r>
      <w:r>
        <w:t xml:space="preserve">failure mode.</w:t>
      </w:r>
    </w:p>
    <w:bookmarkEnd w:id="27"/>
    <w:bookmarkStart w:id="28" w:name="f-5-band-mask-robustness"/>
    <w:p>
      <w:pPr>
        <w:pStyle w:val="Heading2"/>
      </w:pPr>
      <w:r>
        <w:t xml:space="preserve">F-5: band-mask robustness</w:t>
      </w:r>
    </w:p>
    <w:p>
      <w:pPr>
        <w:pStyle w:val="FirstParagraph"/>
      </w:pPr>
      <w:r>
        <w:t xml:space="preserve">We refit the canonical LDA on four band-restricted vocabularies:</w:t>
      </w:r>
      <w:r>
        <w:t xml:space="preserve"> </w:t>
      </w:r>
      <w:r>
        <w:t xml:space="preserve">VNIR-only (</w:t>
      </w:r>
      <m:oMath>
        <m:r>
          <m:rPr>
            <m:sty m:val="p"/>
          </m:rPr>
          <m:t>[</m:t>
        </m:r>
        <m:r>
          <m:t>400</m:t>
        </m:r>
        <m:r>
          <m:rPr>
            <m:sty m:val="p"/>
          </m:rPr>
          <m:t>,</m:t>
        </m:r>
        <m:r>
          <m:t>1100</m:t>
        </m:r>
        <m:r>
          <m:rPr>
            <m:sty m:val="p"/>
          </m:rPr>
          <m:t>]</m:t>
        </m:r>
      </m:oMath>
      <w:r>
        <w:t xml:space="preserve"> nm), SWIR-only (</w:t>
      </w:r>
      <m:oMath>
        <m:r>
          <m:rPr>
            <m:sty m:val="p"/>
          </m:rPr>
          <m:t>[</m:t>
        </m:r>
        <m:r>
          <m:t>1100</m:t>
        </m:r>
        <m:r>
          <m:rPr>
            <m:sty m:val="p"/>
          </m:rPr>
          <m:t>,</m:t>
        </m:r>
        <m:r>
          <m:t>2500</m:t>
        </m:r>
        <m:r>
          <m:rPr>
            <m:sty m:val="p"/>
          </m:rPr>
          <m:t>]</m:t>
        </m:r>
      </m:oMath>
      <w:r>
        <w:t xml:space="preserve"> nm), no-water</w:t>
      </w:r>
      <w:r>
        <w:t xml:space="preserve"> </w:t>
      </w:r>
      <w:r>
        <w:t xml:space="preserve">(drop</w:t>
      </w:r>
      <w:r>
        <w:t xml:space="preserve"> </w:t>
      </w:r>
      <m:oMath>
        <m:r>
          <m:rPr>
            <m:sty m:val="p"/>
          </m:rPr>
          <m:t>[</m:t>
        </m:r>
        <m:r>
          <m:t>1350</m:t>
        </m:r>
        <m:r>
          <m:rPr>
            <m:sty m:val="p"/>
          </m:rPr>
          <m:t>,</m:t>
        </m:r>
        <m:r>
          <m:t>1430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1800</m:t>
        </m:r>
        <m:r>
          <m:rPr>
            <m:sty m:val="p"/>
          </m:rPr>
          <m:t>,</m:t>
        </m:r>
        <m:r>
          <m:t>1950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2480</m:t>
        </m:r>
        <m:r>
          <m:rPr>
            <m:sty m:val="p"/>
          </m:rPr>
          <m:t>,</m:t>
        </m:r>
        <m:r>
          <m:t>2500</m:t>
        </m:r>
        <m:r>
          <m:rPr>
            <m:sty m:val="p"/>
          </m:rPr>
          <m:t>]</m:t>
        </m:r>
      </m:oMath>
      <w:r>
        <w:t xml:space="preserve"> nm), and</w:t>
      </w:r>
      <w:r>
        <w:t xml:space="preserve"> </w:t>
      </w:r>
      <w:r>
        <w:t xml:space="preserve">top-50 Fisher (keep the 50 bands with highest per-band Fisher ratio</w:t>
      </w:r>
      <w:r>
        <w:t xml:space="preserve"> </w:t>
      </w:r>
      <w:r>
        <w:t xml:space="preserve">against the ground-truth label). For each (scene, mask) we compute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paired adjusted Rand index</w:t>
      </w:r>
      <w:r>
        <w:t xml:space="preserve"> </w:t>
      </w:r>
      <w:r>
        <w:t xml:space="preserve">defined in the companion</w:t>
      </w:r>
      <w:r>
        <w:t xml:space="preserve"> </w:t>
      </w:r>
      <w:r>
        <w:t xml:space="preserve">conference paper, restated here for self-containment: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ARI</m:t>
              </m:r>
            </m:e>
            <m:sub>
              <m:r>
                <m:rPr>
                  <m:nor/>
                  <m:sty m:val="p"/>
                </m:rPr>
                <m:t>paired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ARI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sSubSup>
                <m:e>
                  <m:r>
                    <m:t>z</m:t>
                  </m:r>
                </m:e>
                <m:sub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θ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canonical dominant-topic</w:t>
      </w:r>
      <w:r>
        <w:t xml:space="preserve"> </w:t>
      </w:r>
      <w:r>
        <w:t xml:space="preserve">map,</w:t>
      </w:r>
      <w:r>
        <w:t xml:space="preserve"> </w:t>
      </w:r>
      <m:oMath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the masked dominant-topic map, 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set of pixels labelled in both maps.</w:t>
      </w:r>
    </w:p>
    <w:bookmarkEnd w:id="28"/>
    <w:bookmarkStart w:id="29" w:name="f-6-cross-method-agreement"/>
    <w:p>
      <w:pPr>
        <w:pStyle w:val="Heading2"/>
      </w:pPr>
      <w:r>
        <w:t xml:space="preserve">F-6: cross-method agreement</w:t>
      </w:r>
    </w:p>
    <w:p>
      <w:pPr>
        <w:pStyle w:val="FirstParagraph"/>
      </w:pPr>
      <w:r>
        <w:t xml:space="preserve">Six unsupervised partitions are computed for each labelled scene:</w:t>
      </w:r>
      <w:r>
        <w:t xml:space="preserve"> </w:t>
      </w:r>
      <w:r>
        <w:t xml:space="preserve">SLIC 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(Achanta et al. 2012)</w:t>
      </w:r>
      <w:r>
        <w:t xml:space="preserve">, SLIC 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2000</m:t>
        </m:r>
      </m:oMath>
      <w:r>
        <w:t xml:space="preserve">,</w:t>
      </w:r>
      <w:r>
        <w:t xml:space="preserve"> </w:t>
      </w:r>
      <w:r>
        <w:t xml:space="preserve">Felzenszwalb</w:t>
      </w:r>
      <w:r>
        <w:t xml:space="preserve"> </w:t>
      </w:r>
      <w:r>
        <w:t xml:space="preserve">(Felzenszwalb and Huttenlocher 2004)</w:t>
      </w:r>
      <w:r>
        <w:t xml:space="preserve">,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spectral</w:t>
      </w:r>
      <w:r>
        <w:t xml:space="preserve"> </w:t>
      </w:r>
      <w:r>
        <w:t xml:space="preserve">patches reduced to a cluster index by KMeans,</w:t>
      </w:r>
      <w:r>
        <w:t xml:space="preserve"> </w:t>
      </w:r>
      <m:oMath>
        <m:r>
          <m:t>15</m:t>
        </m:r>
        <m:r>
          <m:rPr>
            <m:sty m:val="p"/>
          </m:rPr>
          <m:t>×</m:t>
        </m:r>
        <m:r>
          <m:t>15</m:t>
        </m:r>
      </m:oMath>
      <w:r>
        <w:t xml:space="preserve"> </w:t>
      </w:r>
      <w:r>
        <w:t xml:space="preserve">patches by</w:t>
      </w:r>
      <w:r>
        <w:t xml:space="preserve"> </w:t>
      </w:r>
      <w:r>
        <w:t xml:space="preserve">KMeans, and a trivial pixel-wise (identity) partition. We then compute</w:t>
      </w:r>
      <w:r>
        <w:t xml:space="preserve"> </w:t>
      </w:r>
      <w:r>
        <w:t xml:space="preserve">the all-pairs ARI and NMI matrix between every pair of partitions</w:t>
      </w:r>
      <w:r>
        <w:t xml:space="preserve"> </w:t>
      </w:r>
      <w:r>
        <w:t xml:space="preserve">including the canonical topic-dominant map and the ground-truth label,</w:t>
      </w:r>
      <w:r>
        <w:t xml:space="preserve"> </w:t>
      </w:r>
      <w:r>
        <w:t xml:space="preserve">yielding an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comparison surface per scene. The diagonal</w:t>
      </w:r>
      <w:r>
        <w:t xml:space="preserve"> </w:t>
      </w:r>
      <w:r>
        <w:t xml:space="preserve">is 1.0; off-diagonal entries diagnose which partitions agree with</w:t>
      </w:r>
      <w:r>
        <w:t xml:space="preserve"> </w:t>
      </w:r>
      <w:r>
        <w:t xml:space="preserve">each other independently of the ground-truth label, surfacing shared</w:t>
      </w:r>
      <w:r>
        <w:t xml:space="preserve"> </w:t>
      </w:r>
      <w:r>
        <w:t xml:space="preserve">inductive biases.</w:t>
      </w:r>
    </w:p>
    <w:bookmarkEnd w:id="29"/>
    <w:bookmarkStart w:id="30" w:name="f-7-topiclabel-coupling"/>
    <w:p>
      <w:pPr>
        <w:pStyle w:val="Heading2"/>
      </w:pPr>
      <w:r>
        <w:t xml:space="preserve">F-7: topic–label coupling</w:t>
      </w:r>
    </w:p>
    <w:p>
      <w:pPr>
        <w:pStyle w:val="FirstParagraph"/>
      </w:pPr>
      <w:r>
        <w:t xml:space="preserve">For each (scene, topic</w:t>
      </w:r>
      <w:r>
        <w:t xml:space="preserve"> </w:t>
      </w:r>
      <m:oMath>
        <m:r>
          <m:t>t</m:t>
        </m:r>
      </m:oMath>
      <w:r>
        <w:t xml:space="preserve">) we compute the empirical conditional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confusion matrix between the dominant-topic</w:t>
      </w:r>
      <w:r>
        <w:t xml:space="preserve"> </w:t>
      </w:r>
      <w:r>
        <w:t xml:space="preserve">map and the ground-truth label. The aggregate per-topic statistic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ℓ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, and a</w:t>
      </w:r>
      <w:r>
        <w:t xml:space="preserve"> </w:t>
      </w:r>
      <w:r>
        <w:t xml:space="preserve">KL divergence against the marginal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measures how concentrated</w:t>
      </w:r>
      <w:r>
        <w:t xml:space="preserve"> </w:t>
      </w:r>
      <w:r>
        <w:t xml:space="preserve">the topic’s label support is. Low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topics correspond to</w:t>
      </w:r>
      <w:r>
        <w:t xml:space="preserve"> </w:t>
      </w:r>
      <w:r>
        <w:t xml:space="preserve">label-aligned topics (one canonical class dominates); high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topics correspond to mixed-label regions and are useful</w:t>
      </w:r>
      <w:r>
        <w:t xml:space="preserve"> </w:t>
      </w:r>
      <w:r>
        <w:t xml:space="preserve">candidates for transition zones or shadow/cloud artefacts.</w:t>
      </w:r>
    </w:p>
    <w:bookmarkEnd w:id="30"/>
    <w:bookmarkStart w:id="31" w:name="sec:f8"/>
    <w:p>
      <w:pPr>
        <w:pStyle w:val="Heading2"/>
      </w:pPr>
      <w:r>
        <w:t xml:space="preserve">F-8: per-topic identity tracking under masks</w:t>
      </w:r>
    </w:p>
    <w:p>
      <w:pPr>
        <w:pStyle w:val="FirstParagraph"/>
      </w:pPr>
      <w:r>
        <w:t xml:space="preserve">Given the canonical fit and a masked refit, the confusion matrix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</m:sup>
            </m:sSup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{</m:t>
        </m:r>
        <m:r>
          <m:t>d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: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∧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  <m:r>
          <m:rPr>
            <m:sty m:val="p"/>
          </m:rPr>
          <m:t>|</m:t>
        </m:r>
      </m:oMath>
      <w:r>
        <w:t xml:space="preserve"> </w:t>
      </w:r>
      <w:r>
        <w:t xml:space="preserve">defines a maximum-weight bipartite matching whose solution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σ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σ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is computed by</w:t>
      </w:r>
      <w:r>
        <w:t xml:space="preserve"> </w:t>
      </w:r>
      <w:r>
        <w:t xml:space="preserve">the Hungarian algorithm of Kuhn </w:t>
      </w:r>
      <w:r>
        <w:t xml:space="preserve">(Kuhn 1955)</w:t>
      </w:r>
      <w:r>
        <w:t xml:space="preserve"> </w:t>
      </w:r>
      <w:r>
        <w:t xml:space="preserve">with</w:t>
      </w:r>
      <w:r>
        <w:t xml:space="preserve"> </w:t>
      </w:r>
      <w:r>
        <w:t xml:space="preserve">Munkres’s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refinement </w:t>
      </w:r>
      <w:r>
        <w:t xml:space="preserve">(Munkres 1957)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scipy.optimize.linear_sum_assignment</w:t>
      </w:r>
      <w:r>
        <w:t xml:space="preserve"> </w:t>
      </w:r>
      <w:r>
        <w:t xml:space="preserve">(SciPy Developers 2024)</w:t>
      </w:r>
      <w:r>
        <w:t xml:space="preserve">. The</w:t>
      </w:r>
      <w:r>
        <w:t xml:space="preserve"> </w:t>
      </w:r>
      <w:r>
        <w:rPr>
          <w:i/>
          <w:iCs/>
        </w:rPr>
        <w:t xml:space="preserve">swap rate under alignment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S</m:t>
        </m:r>
        <m:sSup>
          <m:e>
            <m:r>
              <m:rPr>
                <m:sty m:val="p"/>
              </m:rPr>
              <m:t>|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S</m:t>
            </m:r>
          </m:sub>
          <m:sup>
            <m:r>
              <m:t>​</m:t>
            </m:r>
          </m:sup>
          <m:e>
            <m:r>
              <m:rPr>
                <m:sty m:val="b"/>
              </m:rPr>
              <m:t>1</m:t>
            </m:r>
          </m:e>
        </m:nary>
        <m:r>
          <m:rPr>
            <m:sty m:val="p"/>
          </m:rPr>
          <m:t>[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the residual disagreement that survives</w:t>
      </w:r>
      <w:r>
        <w:t xml:space="preserve"> </w:t>
      </w:r>
      <w:r>
        <w:t xml:space="preserve">permutation realignment.</w:t>
      </w:r>
    </w:p>
    <w:bookmarkEnd w:id="31"/>
    <w:bookmarkStart w:id="32" w:name="f-9-hidsag-cross-preprocessing-stability"/>
    <w:p>
      <w:pPr>
        <w:pStyle w:val="Heading2"/>
      </w:pPr>
      <w:r>
        <w:t xml:space="preserve">F-9: HIDSAG cross-preprocessing stability</w:t>
      </w:r>
    </w:p>
    <w:p>
      <w:pPr>
        <w:pStyle w:val="FirstParagraph"/>
      </w:pPr>
      <w:r>
        <w:t xml:space="preserve">HIDSAG mineralogical samples admit multiple preprocessing recipes</w:t>
      </w:r>
      <w:r>
        <w:t xml:space="preserve"> </w:t>
      </w:r>
      <w:r>
        <w:t xml:space="preserve">(continuum-removed reflectance, derivative spectra, smoothed</w:t>
      </w:r>
      <w:r>
        <w:t xml:space="preserve"> </w:t>
      </w:r>
      <w:r>
        <w:t xml:space="preserve">continuum-preserved). We refit LDA on three recipes per subset and</w:t>
      </w:r>
      <w:r>
        <w:t xml:space="preserve"> </w:t>
      </w:r>
      <w:r>
        <w:t xml:space="preserve">report ARI(dominant-topic recipe A, dominant-topic recipe B) for each</w:t>
      </w:r>
      <w:r>
        <w:t xml:space="preserve"> </w:t>
      </w:r>
      <w:r>
        <w:t xml:space="preserve">pair, summarising preprocessing-induced topic shifts that may dominate</w:t>
      </w:r>
      <w:r>
        <w:t xml:space="preserve"> </w:t>
      </w:r>
      <w:r>
        <w:t xml:space="preserve">the underlying signal on mineralogical data.</w:t>
      </w:r>
    </w:p>
    <w:bookmarkEnd w:id="32"/>
    <w:bookmarkStart w:id="33" w:name="f-10-cross-scene-topic-transfer"/>
    <w:p>
      <w:pPr>
        <w:pStyle w:val="Heading2"/>
      </w:pPr>
      <w:r>
        <w:t xml:space="preserve">F-10: cross-scene topic transfer</w:t>
      </w:r>
    </w:p>
    <w:p>
      <w:pPr>
        <w:pStyle w:val="FirstParagraph"/>
      </w:pPr>
      <w:r>
        <w:t xml:space="preserve">We project the canonical topic basis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source scene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onto</w:t>
      </w:r>
      <w:r>
        <w:t xml:space="preserve"> </w:t>
      </w:r>
      <w:r>
        <w:t xml:space="preserve">the document-term matrix of target scene</w:t>
      </w:r>
      <w:r>
        <w:t xml:space="preserve"> </w:t>
      </w:r>
      <m:oMath>
        <m:r>
          <m:t>t</m:t>
        </m:r>
      </m:oMath>
      <w:r>
        <w:t xml:space="preserve">, compute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←</m:t>
            </m:r>
            <m:r>
              <m:t>s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via a single E-step, and report ARI of</w:t>
      </w:r>
      <w:r>
        <w:t xml:space="preserve"> </w:t>
      </w:r>
      <w:r>
        <w:t xml:space="preserve">the resulting dominant-topic map against the ground-truth label of</w:t>
      </w:r>
      <w:r>
        <w:t xml:space="preserve"> </w:t>
      </w:r>
      <m:oMath>
        <m:r>
          <m:t>t</m:t>
        </m:r>
      </m:oMath>
      <w:r>
        <w:t xml:space="preserve">. The reverse direction is also reported. The transfer ARI is</w:t>
      </w:r>
      <w:r>
        <w:t xml:space="preserve"> </w:t>
      </w:r>
      <w:r>
        <w:t xml:space="preserve">informative when both scenes are sensorially similar (e.g. Salinas</w:t>
      </w:r>
      <w:r>
        <w:t xml:space="preserve"> </w:t>
      </w:r>
      <w:r>
        <w:t xml:space="preserve">and Salinas-A) and useful as a negative control when they are not</w:t>
      </w:r>
      <w:r>
        <w:t xml:space="preserve"> </w:t>
      </w:r>
      <w:r>
        <w:t xml:space="preserve">(e.g. Indian Pines to Pavia U).</w:t>
      </w:r>
    </w:p>
    <w:bookmarkEnd w:id="33"/>
    <w:bookmarkStart w:id="34" w:name="f-11-ratedistortion-of-theta"/>
    <w:p>
      <w:pPr>
        <w:pStyle w:val="Heading2"/>
      </w:pPr>
      <w:r>
        <w:t xml:space="preserve">F-11: rate–distortion of</w:t>
      </w:r>
      <w:r>
        <w:t xml:space="preserve"> </w:t>
      </w:r>
      <m:oMath>
        <m:r>
          <m:t>θ</m:t>
        </m:r>
      </m:oMath>
    </w:p>
    <w:p>
      <w:pPr>
        <w:pStyle w:val="FirstParagraph"/>
      </w:pPr>
      <w:r>
        <w:t xml:space="preserve">We reconstruct each pixel spectrum from its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coefficient and</w:t>
      </w:r>
      <w:r>
        <w:t xml:space="preserve"> </w:t>
      </w:r>
      <w:r>
        <w:t xml:space="preserve">the basis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ϕ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, scaled</w:t>
      </w:r>
      <w:r>
        <w:t xml:space="preserve"> </w:t>
      </w:r>
      <w:r>
        <w:t xml:space="preserve">back from the quantised band-frequency representation. The</w:t>
      </w:r>
      <w:r>
        <w:t xml:space="preserve"> </w:t>
      </w:r>
      <w:r>
        <w:t xml:space="preserve">distortion is reported as the per-pixel mean-squared error against the</w:t>
      </w:r>
      <w:r>
        <w:t xml:space="preserve"> </w:t>
      </w:r>
      <w:r>
        <w:t xml:space="preserve">original spectrum, plotted against the dictionary size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(the number</w:t>
      </w:r>
      <w:r>
        <w:t xml:space="preserve"> </w:t>
      </w:r>
      <w:r>
        <w:t xml:space="preserve">of basis spectra). Note this is a distortion-vs-complexity curve, not a</w:t>
      </w:r>
      <w:r>
        <w:t xml:space="preserve"> </w:t>
      </w:r>
      <w:r>
        <w:t xml:space="preserve">strict rate–distortion curve: the reconstruction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soft</w:t>
      </w:r>
      <w:r>
        <w:t xml:space="preserve"> </w:t>
      </w:r>
      <w:r>
        <w:t xml:space="preserve">convex combination over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topics, whose description cost</w:t>
      </w:r>
      <w:r>
        <w:t xml:space="preserve"> </w:t>
      </w:r>
      <w:r>
        <w:t xml:space="preserve">is that of the continuous simplex vector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</m:rPr>
              <m:t>Δ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not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bits of a hard one-of-</w:t>
      </w:r>
      <m:oMath>
        <m:r>
          <m:t>K</m:t>
        </m:r>
      </m:oMath>
      <w:r>
        <w:t xml:space="preserve"> </w:t>
      </w:r>
      <w:r>
        <w:t xml:space="preserve">codeword selection. The</w:t>
      </w:r>
      <w:r>
        <w:t xml:space="preserve"> </w:t>
      </w:r>
      <w:r>
        <w:t xml:space="preserve">curve diagnoses how aggressively the topic representation compresses</w:t>
      </w:r>
      <w:r>
        <w:t xml:space="preserve"> </w:t>
      </w:r>
      <w:r>
        <w:t xml:space="preserve">the spectrum while remaining usable for downstream tasks.</w:t>
      </w:r>
    </w:p>
    <w:bookmarkEnd w:id="34"/>
    <w:bookmarkStart w:id="35" w:name="Xecdf3abbc15c3a8d27c1efb91f859b7a5ad9e9f"/>
    <w:p>
      <w:pPr>
        <w:pStyle w:val="Heading2"/>
      </w:pPr>
      <w:r>
        <w:t xml:space="preserve">F-12: external spectral-library and method-rank alignment</w:t>
      </w:r>
    </w:p>
    <w:p>
      <w:pPr>
        <w:pStyle w:val="FirstParagraph"/>
      </w:pPr>
      <w:r>
        <w:t xml:space="preserve">For each labelled scene we align every canonical LDA topic against the</w:t>
      </w:r>
      <w:r>
        <w:t xml:space="preserve"> </w:t>
      </w:r>
      <w:r>
        <w:t xml:space="preserve">USGS Spectral Library Version 7 </w:t>
      </w:r>
      <w:r>
        <w:t xml:space="preserve">(Kokaly et al. 2017)</w:t>
      </w:r>
      <w:r>
        <w:t xml:space="preserve"> </w:t>
      </w:r>
      <w:r>
        <w:t xml:space="preserve">by cosine</w:t>
      </w:r>
      <w:r>
        <w:t xml:space="preserve"> </w:t>
      </w:r>
      <w:r>
        <w:t xml:space="preserve">similarity, matching each per-topic reconstructed spectrum to its</w:t>
      </w:r>
      <w:r>
        <w:t xml:space="preserve"> </w:t>
      </w:r>
      <w:r>
        <w:t xml:space="preserve">nearest library category and recording the alignment per topic; the</w:t>
      </w:r>
      <w:r>
        <w:t xml:space="preserve"> </w:t>
      </w:r>
      <w:r>
        <w:t xml:space="preserve">artefacts store</w:t>
      </w:r>
      <w:r>
        <w:t xml:space="preserve"> </w:t>
      </w:r>
      <w:r>
        <w:t xml:space="preserve">these per-topic matchings. On the HIDSAG mineralogical subsets, where</w:t>
      </w:r>
      <w:r>
        <w:t xml:space="preserve"> </w:t>
      </w:r>
      <w:r>
        <w:t xml:space="preserve">spectral-library categories are physically meaningful, we additionally</w:t>
      </w:r>
      <w:r>
        <w:t xml:space="preserve"> </w:t>
      </w:r>
      <w:r>
        <w:t xml:space="preserve">report the Friedman method-rank cross-comparison across partitions</w:t>
      </w:r>
      <w:r>
        <w:t xml:space="preserve"> </w:t>
      </w:r>
      <w:r>
        <w:t xml:space="preserve">(). This axis is a</w:t>
      </w:r>
      <w:r>
        <w:t xml:space="preserve"> </w:t>
      </w:r>
      <w:r>
        <w:t xml:space="preserve">spectral-plausibility and cross-method check, not a published-accuracy</w:t>
      </w:r>
      <w:r>
        <w:t xml:space="preserve"> </w:t>
      </w:r>
      <w:r>
        <w:t xml:space="preserve">benchmark. Its outputs are released in the artefact set and are not</w:t>
      </w:r>
      <w:r>
        <w:t xml:space="preserve"> </w:t>
      </w:r>
      <w:r>
        <w:t xml:space="preserve">analysed further in this paper.</w:t>
      </w:r>
    </w:p>
    <w:bookmarkEnd w:id="35"/>
    <w:bookmarkEnd w:id="36"/>
    <w:bookmarkStart w:id="40" w:name="sec:setup"/>
    <w:p>
      <w:pPr>
        <w:pStyle w:val="Heading1"/>
      </w:pPr>
      <w:r>
        <w:t xml:space="preserve">Experimental setup</w:t>
      </w:r>
    </w:p>
    <w:bookmarkStart w:id="37" w:name="labelled-scenes"/>
    <w:p>
      <w:pPr>
        <w:pStyle w:val="Heading2"/>
      </w:pPr>
      <w:r>
        <w:t xml:space="preserve">Labelled scenes</w:t>
      </w:r>
    </w:p>
    <w:p>
      <w:pPr>
        <w:pStyle w:val="FirstParagraph"/>
      </w:pPr>
      <w:r>
        <w:t xml:space="preserve">The six standard labelled HSI benchmarks were obtained from the UPV/EHU</w:t>
      </w:r>
      <w:r>
        <w:t xml:space="preserve"> </w:t>
      </w:r>
      <w:r>
        <w:t xml:space="preserve">Hyperspectral Remote Sensing Scenes collection. The scenes span three</w:t>
      </w:r>
      <w:r>
        <w:t xml:space="preserve"> </w:t>
      </w:r>
      <w:r>
        <w:t xml:space="preserve">sensor families (AVIRIS, ROSIS, EO-1 Hyperion) and three application</w:t>
      </w:r>
      <w:r>
        <w:t xml:space="preserve"> </w:t>
      </w:r>
      <w:r>
        <w:t xml:space="preserve">domains (agriculture, urban, wetlands), and are listed in</w:t>
      </w:r>
      <w:r>
        <w:t xml:space="preserve"> </w:t>
      </w:r>
      <w:r>
        <w:t xml:space="preserve">Table </w:t>
      </w:r>
      <w:hyperlink w:anchor="tab:scenes">
        <w:r>
          <w:rPr>
            <w:rStyle w:val="Hyperlink"/>
          </w:rPr>
          <w:t xml:space="preserve">[tab:scenes]</w:t>
        </w:r>
      </w:hyperlink>
      <w:r>
        <w:t xml:space="preserve"> </w:t>
      </w:r>
      <w:r>
        <w:t xml:space="preserve">with the per-scene tokenisation outcome.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AVIRIS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145</m:t>
              </m:r>
              <m:r>
                <m:rPr>
                  <m:sty m:val="p"/>
                </m:rPr>
                <m:t>×</m:t>
              </m:r>
              <m:r>
                <m:t>145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(Baumgardner et al. 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AVIRIS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217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(NASA/JPL Airborne Visible/Infrared Imaging Spectrometer Project 1998)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AVIRIS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83</m:t>
              </m:r>
              <m:r>
                <m:rPr>
                  <m:sty m:val="p"/>
                </m:rPr>
                <m:t>×</m:t>
              </m:r>
              <m:r>
                <m:t>86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(NASA/JPL Airborne Visible/Infrared Imaging Spectrometer Project 1998)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ROSIS-03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610</m:t>
              </m:r>
              <m:r>
                <m:rPr>
                  <m:sty m:val="p"/>
                </m:rPr>
                <m:t>×</m:t>
              </m:r>
              <m:r>
                <m:t>340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(German Aerospace Center (DLR) ROSIS sensor 2003)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Space 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AVIRIS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614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(NASA/JPL Airborne Visible/Infrared Imaging Spectrometer Project 1996)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EO-1 H.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1476</m:t>
              </m:r>
              <m:r>
                <m:rPr>
                  <m:sty m:val="p"/>
                </m:rPr>
                <m:t>×</m:t>
              </m:r>
              <m:r>
                <m:t>256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(NASA EO-1 Hyperion Mission 2001)</w:t>
            </w:r>
          </w:p>
        </w:tc>
      </w:tr>
    </w:tbl>
    <w:bookmarkEnd w:id="37"/>
    <w:bookmarkStart w:id="38" w:name="hidsag-mineralogical-subsets"/>
    <w:p>
      <w:pPr>
        <w:pStyle w:val="Heading2"/>
      </w:pPr>
      <w:r>
        <w:t xml:space="preserve">HIDSAG mineralogical subsets</w:t>
      </w:r>
    </w:p>
    <w:p>
      <w:pPr>
        <w:pStyle w:val="FirstParagraph"/>
      </w:pPr>
      <w:r>
        <w:t xml:space="preserve">The Hyperspectral Image Database for Supervised Analysis in</w:t>
      </w:r>
      <w:r>
        <w:t xml:space="preserve"> </w:t>
      </w:r>
      <w:r>
        <w:t xml:space="preserve">Geometallurgy (HIDSAG</w:t>
      </w:r>
      <w:r>
        <w:t xml:space="preserve"> </w:t>
      </w:r>
      <w:r>
        <w:t xml:space="preserve">(Ehrenfeld et al. 2023; Ehrenfeld 2023)</w:t>
      </w:r>
      <w:r>
        <w:t xml:space="preserve">) is a</w:t>
      </w:r>
      <w:r>
        <w:t xml:space="preserve"> </w:t>
      </w:r>
      <w:r>
        <w:t xml:space="preserve">curated collection of hyperspectral cubes over mineralogical samples,</w:t>
      </w:r>
      <w:r>
        <w:t xml:space="preserve"> </w:t>
      </w:r>
      <w:r>
        <w:t xml:space="preserve">acquired with VNIR and SWIR sensors and accompanied by mineralogical,</w:t>
      </w:r>
      <w:r>
        <w:t xml:space="preserve"> </w:t>
      </w:r>
      <w:r>
        <w:t xml:space="preserve">geochemical, and geometallurgical labels. Five thematic subsets are</w:t>
      </w:r>
      <w:r>
        <w:t xml:space="preserve"> </w:t>
      </w:r>
      <w:r>
        <w:t xml:space="preserve">exposed in the companion code repository: GEOMET (geometallurgical</w:t>
      </w:r>
      <w:r>
        <w:t xml:space="preserve"> </w:t>
      </w:r>
      <w:r>
        <w:t xml:space="preserve">recovery + comminution targets), MINERAL1 (silicates / sulfides),</w:t>
      </w:r>
      <w:r>
        <w:t xml:space="preserve"> </w:t>
      </w:r>
      <w:r>
        <w:t xml:space="preserve">MINERAL2 (high-sulfidation epithermal mineralogy), GEOCHEM (bulk</w:t>
      </w:r>
      <w:r>
        <w:t xml:space="preserve"> </w:t>
      </w:r>
      <w:r>
        <w:t xml:space="preserve">geochemistry), and</w:t>
      </w:r>
      <w:r>
        <w:t xml:space="preserve"> </w:t>
      </w:r>
      <w:r>
        <w:t xml:space="preserve">PORPHYRY (porphyry-copper deposits). Each subset contains 19 target</w:t>
      </w:r>
      <w:r>
        <w:t xml:space="preserve"> </w:t>
      </w:r>
      <w:r>
        <w:t xml:space="preserve">labels distributed across multiple samples; the document-construction</w:t>
      </w:r>
      <w:r>
        <w:t xml:space="preserve"> </w:t>
      </w:r>
      <w:r>
        <w:t xml:space="preserve">pipeline averages pixels within a region of interest to produce one</w:t>
      </w:r>
      <w:r>
        <w:t xml:space="preserve"> </w:t>
      </w:r>
      <w:r>
        <w:t xml:space="preserve">spectrum per (sample, measurement, cube) tuple. The canonical fit on</w:t>
      </w:r>
      <w:r>
        <w:t xml:space="preserve"> </w:t>
      </w:r>
      <w:r>
        <w:t xml:space="preserve">HIDSAG follows the same online-VB LDA recipe as for labelled scenes</w:t>
      </w:r>
      <w:r>
        <w:t xml:space="preserve"> </w:t>
      </w:r>
      <w:r>
        <w:t xml:space="preserve">with the addition that HIDSAG documents are typically longer (larger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e>
        </m:nary>
      </m:oMath>
      <w:r>
        <w:t xml:space="preserve">) by construction.</w:t>
      </w:r>
    </w:p>
    <w:bookmarkEnd w:id="38"/>
    <w:bookmarkStart w:id="39" w:name="subsec:hyper"/>
    <w:p>
      <w:pPr>
        <w:pStyle w:val="Heading2"/>
      </w:pPr>
      <w:r>
        <w:t xml:space="preserve">Hyperparameters held fixed</w:t>
      </w:r>
    </w:p>
    <w:p>
      <w:pPr>
        <w:pStyle w:val="FirstParagraph"/>
      </w:pPr>
      <w:r>
        <w:t xml:space="preserve">All LDA fits in this study use the same hyperparameter slate: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online-VB passes, learning offset</w:t>
      </w:r>
      <w:r>
        <w:t xml:space="preserve"> </w:t>
      </w:r>
      <m:oMath>
        <m:r>
          <m:t>10.0</m:t>
        </m:r>
      </m:oMath>
      <w:r>
        <w:t xml:space="preserve">, learning decay</w:t>
      </w:r>
      <w:r>
        <w:t xml:space="preserve"> </w:t>
      </w:r>
      <m:oMath>
        <m:r>
          <m:t>0.7</m:t>
        </m:r>
      </m:oMath>
      <w:r>
        <w:t xml:space="preserve">, batch size</w:t>
      </w:r>
      <w:r>
        <w:t xml:space="preserve"> </w:t>
      </w:r>
      <m:oMath>
        <m:r>
          <m:t>128</m:t>
        </m:r>
      </m:oMath>
      <w:r>
        <w:t xml:space="preserve">, seed</w:t>
      </w:r>
      <w:r>
        <w:t xml:space="preserve"> </w:t>
      </w:r>
      <m:oMath>
        <m:r>
          <m:t>42</m:t>
        </m:r>
      </m:oMath>
      <w:r>
        <w:t xml:space="preserve">, samples per</w:t>
      </w:r>
      <w:r>
        <w:t xml:space="preserve"> </w:t>
      </w:r>
      <w:r>
        <w:t xml:space="preserve">class</w:t>
      </w:r>
      <w:r>
        <w:t xml:space="preserve"> </w:t>
      </w:r>
      <m:oMath>
        <m:r>
          <m:t>220</m:t>
        </m:r>
      </m:oMath>
      <w:r>
        <w:t xml:space="preserve">. ProdLDA and ETM are the two amortised models stated in</w:t>
      </w:r>
      <w:r>
        <w:t xml:space="preserve"> </w:t>
      </w:r>
      <w:r>
        <w:t xml:space="preserve">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: the mixture-decoder form labelled ProdLDA</w:t>
      </w:r>
      <w:r>
        <w:t xml:space="preserve"> </w:t>
      </w:r>
      <w:r>
        <w:t xml:space="preserve">and ETM, sharing the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prior and an encoder with two</w:t>
      </w:r>
      <w:r>
        <w:t xml:space="preserve"> </w:t>
      </w:r>
      <w:r>
        <w:t xml:space="preserve">hidden layers of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units, with ETM word embeddings of dimension</w:t>
      </w:r>
      <w:r>
        <w:t xml:space="preserve"> </w:t>
      </w:r>
      <m:oMath>
        <m:r>
          <m:t>64</m:t>
        </m:r>
      </m:oMath>
      <w:r>
        <w:t xml:space="preserve">. Both are trained with Adam at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epochs with batch size</w:t>
      </w:r>
      <w:r>
        <w:t xml:space="preserve"> </w:t>
      </w:r>
      <m:oMath>
        <m:r>
          <m:t>128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matched to the LDA canonical, and</w:t>
      </w:r>
      <w:r>
        <w:t xml:space="preserve"> </w:t>
      </w:r>
      <w:r>
        <w:t xml:space="preserve">seeds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seed-stability sweep. Their documents</w:t>
      </w:r>
      <w:r>
        <w:t xml:space="preserve"> </w:t>
      </w:r>
      <w:r>
        <w:t xml:space="preserve">are band-frequency counts at scale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(each min–max-normalised</w:t>
      </w:r>
      <w:r>
        <w:t xml:space="preserve"> </w:t>
      </w:r>
      <w:r>
        <w:t xml:space="preserve">spectrum of the</w:t>
      </w:r>
      <w:r>
        <w:t xml:space="preserve"> </w:t>
      </w:r>
      <m:oMath>
        <m:r>
          <m:t>220</m:t>
        </m:r>
      </m:oMath>
      <w:r>
        <w:t xml:space="preserve">-per-class sample multiplied by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and rounded)</w:t>
      </w:r>
      <w:r>
        <w:t xml:space="preserve"> </w:t>
      </w:r>
      <w:r>
        <w:t xml:space="preserve">rather than the</w:t>
      </w:r>
      <w:r>
        <w:t xml:space="preserve"> </w:t>
      </w:r>
      <m:oMath>
        <m:r>
          <m:t>13</m:t>
        </m:r>
      </m:oMath>
      <w:r>
        <w:t xml:space="preserve">-level canonical tokenisation. The hierarchical</w:t>
      </w:r>
      <w:r>
        <w:t xml:space="preserve"> </w:t>
      </w:r>
      <w:r>
        <w:t xml:space="preserve">Bayesian classifier of F-1 uses NUTS with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draws,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tune</w:t>
      </w:r>
      <w:r>
        <w:t xml:space="preserve"> </w:t>
      </w:r>
      <w:r>
        <w:t xml:space="preserve">samples, 2 chains and a target acceptance of 0.9; the archived fits</w:t>
      </w:r>
      <w:r>
        <w:t xml:space="preserve"> </w:t>
      </w:r>
      <w:r>
        <w:t xml:space="preserve">record no divergence or convergence diagnostics.</w:t>
      </w:r>
    </w:p>
    <w:bookmarkEnd w:id="39"/>
    <w:bookmarkEnd w:id="40"/>
    <w:bookmarkStart w:id="64" w:name="sec:results"/>
    <w:p>
      <w:pPr>
        <w:pStyle w:val="Heading1"/>
      </w:pPr>
      <w:r>
        <w:t xml:space="preserve">Results</w:t>
      </w:r>
    </w:p>
    <w:bookmarkStart w:id="47" w:name="subsec:res-b1"/>
    <w:p>
      <w:pPr>
        <w:pStyle w:val="Heading2"/>
      </w:pPr>
      <w:r>
        <w:t xml:space="preserve">F-1: classification across method families</w:t>
      </w:r>
    </w:p>
    <w:bookmarkStart w:id="44" w:name="fig:bayesian-method"/>
    <w:p>
      <w:pPr>
        <w:pStyle w:val="CaptionedFigure"/>
      </w:pPr>
      <w:r>
        <w:drawing>
          <wp:inline>
            <wp:extent cx="5334000" cy="392297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ayesian-method-comparison.pdf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F-1 method comparison. (a) Labelled scenes (6 scenes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</w:t>
      </w:r>
      <w:r>
        <w:t xml:space="preserve"> </w:t>
      </w:r>
      <w:r>
        <w:t xml:space="preserve">folds): mean paired macro-F1 difference of each method from</w:t>
      </w:r>
      <w:r>
        <w:t xml:space="preserve"> </w:t>
      </w:r>
      <w:r>
        <w:rPr>
          <w:rStyle w:val="VerbatimChar"/>
        </w:rPr>
        <w:t xml:space="preserve">raw_logistic</w:t>
      </w:r>
      <w:r>
        <w:t xml:space="preserve"> </w:t>
      </w:r>
      <w:r>
        <w:t xml:space="preserve">over the 30 (scene, fold) cells, with its 94%</w:t>
      </w:r>
      <w:r>
        <w:t xml:space="preserve"> </w:t>
      </w:r>
      <w:r>
        <w:t xml:space="preserve">bootstrap interval; the text gives the difference and the observed mean.</w:t>
      </w:r>
      <w:r>
        <w:t xml:space="preserve"> </w:t>
      </w:r>
      <w:r>
        <w:t xml:space="preserve">(b) Pairwise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hierarchical Bayesian model (NUTS,</w:t>
      </w:r>
      <w:r>
        <w:t xml:space="preserve"> </w:t>
      </w:r>
      <w:r>
        <w:t xml:space="preserve">1000 draws, 1000 tune, 2 chains). (c), (d) HIDSAG mineralogical subsets</w:t>
      </w:r>
      <w:r>
        <w:t xml:space="preserve"> </w:t>
      </w:r>
      <w:r>
        <w:t xml:space="preserve">(19 targets across 5 subsets): the same two views. On both blocks the</w:t>
      </w:r>
      <w:r>
        <w:t xml:space="preserve"> </w:t>
      </w:r>
      <w:r>
        <w:t xml:space="preserve">logistic regressions on topic proportions (</w:t>
      </w:r>
      <m:oMath>
        <m:r>
          <m:t>θ</m:t>
        </m:r>
      </m:oMath>
      <w:r>
        <w:t xml:space="preserve">, cube-topic,</w:t>
      </w:r>
      <w:r>
        <w:t xml:space="preserve"> </w:t>
      </w:r>
      <w:r>
        <w:t xml:space="preserve">region-topic) sit 0.27 to 0.34 below</w:t>
      </w:r>
      <w:r>
        <w:t xml:space="preserve"> </w:t>
      </w:r>
      <w:r>
        <w:rPr>
          <w:rStyle w:val="VerbatimChar"/>
        </w:rPr>
        <w:t xml:space="preserve">raw_logistic</w:t>
      </w:r>
      <w:r>
        <w:t xml:space="preserve">; on the</w:t>
      </w:r>
      <w:r>
        <w:t xml:space="preserve"> </w:t>
      </w:r>
      <w:r>
        <w:t xml:space="preserve">labelled scenes</w:t>
      </w:r>
      <w:r>
        <w:t xml:space="preserve"> </w:t>
      </w:r>
      <w:r>
        <w:rPr>
          <w:rStyle w:val="VerbatimChar"/>
        </w:rPr>
        <w:t xml:space="preserve">topic_routed_soft</w:t>
      </w:r>
      <w:r>
        <w:t xml:space="preserve">, which keeps the raw</w:t>
      </w:r>
      <w:r>
        <w:t xml:space="preserve"> </w:t>
      </w:r>
      <w:r>
        <w:t xml:space="preserve">spectrum, sits 0.005 above it.</w:t>
      </w:r>
    </w:p>
    <w:bookmarkEnd w:id="44"/>
    <w:p>
      <w:pPr>
        <w:pStyle w:val="BodyText"/>
      </w:pPr>
      <w:r>
        <w:t xml:space="preserve">Figure </w:t>
      </w:r>
      <w:hyperlink w:anchor="fig:bayesian-method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Table </w:t>
      </w:r>
      <w:hyperlink w:anchor="tab:b1-labelled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</w:t>
      </w:r>
      <w:r>
        <w:t xml:space="preserve"> </w:t>
      </w:r>
      <w:r>
        <w:t xml:space="preserve">the five methods on the labelled-scene block. The topic-routed soft</w:t>
      </w:r>
      <w:r>
        <w:t xml:space="preserve"> </w:t>
      </w:r>
      <w:r>
        <w:t xml:space="preserve">classifier exceeds the raw-spectrum logistic baseline by 0.005 macro-F1</w:t>
      </w:r>
      <w:r>
        <w:t xml:space="preserve"> </w:t>
      </w:r>
      <w:r>
        <w:t xml:space="preserve">(0.915 against 0.910; 94% paired bootstrap interval 0.003 to 0.007,</w:t>
      </w:r>
      <w:r>
        <w:t xml:space="preserve"> </w:t>
      </w:r>
      <w:r>
        <w:t xml:space="preserve">higher on 20 of the 30 cells), a small difference that the hierarchical</w:t>
      </w:r>
      <w:r>
        <w:t xml:space="preserve"> </w:t>
      </w:r>
      <w:r>
        <w:t xml:space="preserve">model, which does not pair the cells, places at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soft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raw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0.641</m:t>
        </m:r>
      </m:oMath>
      <w:r>
        <w:t xml:space="preserve">. The theta-only</w:t>
      </w:r>
      <w:r>
        <w:t xml:space="preserve"> </w:t>
      </w:r>
      <w:r>
        <w:t xml:space="preserve">logistic regression trails the baseline by 0.325 on every one of the 30</w:t>
      </w:r>
      <w:r>
        <w:t xml:space="preserve"> </w:t>
      </w:r>
      <w:r>
        <w:t xml:space="preserve">cells, confirming that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alone discards information that the raw</w:t>
      </w:r>
      <w:r>
        <w:t xml:space="preserve"> </w:t>
      </w:r>
      <w:r>
        <w:t xml:space="preserve">spectrum still contains; the routed classifiers recover it by keeping</w:t>
      </w:r>
      <w:r>
        <w:t xml:space="preserve"> </w:t>
      </w:r>
      <w:r>
        <w:t xml:space="preserve">the raw spectrum as the input of each topic’s expert.</w:t>
      </w:r>
    </w:p>
    <w:bookmarkStart w:id="45" w:name="tab:b1-labelled"/>
    <w:p>
      <w:pPr>
        <w:pStyle w:val="TableCaption"/>
      </w:pPr>
      <w:r>
        <w:t xml:space="preserve">F-1 on the labelled-scene block (six scenes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</w:t>
      </w:r>
      <w:r>
        <w:t xml:space="preserve"> </w:t>
      </w:r>
      <w:r>
        <w:t xml:space="preserve">folds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methods = 150 observations): observed mean</w:t>
      </w:r>
      <w:r>
        <w:t xml:space="preserve"> </w:t>
      </w:r>
      <w:r>
        <w:t xml:space="preserve">macro-F1, mean paired difference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raw_logistic</w:t>
      </w:r>
      <w:r>
        <w:t xml:space="preserve"> </w:t>
      </w:r>
      <w:r>
        <w:t xml:space="preserve">with its 94% bootstrap interval over the 30 cells,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t>m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raw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from the hierarchical model. The</w:t>
      </w:r>
      <w:r>
        <w:t xml:space="preserve"> </w:t>
      </w:r>
      <w:r>
        <w:t xml:space="preserve">model’s posterior locations</w:t>
      </w:r>
      <w:r>
        <w:t xml:space="preserve"> </w:t>
      </w:r>
      <m:oMath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not listed: they are identified</w:t>
      </w:r>
      <w:r>
        <w:t xml:space="preserve"> </w:t>
      </w:r>
      <w:r>
        <w:t xml:space="preserve">only up to the scene offsets (§</w:t>
      </w:r>
      <w:hyperlink w:anchor="subsec:b1">
        <w:r>
          <w:rPr>
            <w:rStyle w:val="Hyperlink"/>
          </w:rPr>
          <w:t xml:space="preserve">4.1</w:t>
        </w:r>
      </w:hyperlink>
      <w:r>
        <w:t xml:space="preserve">). All pairwise</w:t>
      </w:r>
      <w:r>
        <w:t xml:space="preserve"> </w:t>
      </w:r>
      <w:r>
        <w:t xml:space="preserve">probabilities are in the companion artefact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cross_classification_bayesian.json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-1 on the labelled-scene block (six scenes \times five folds \times five methods = 150 observations): observed mean macro-F1, mean paired difference \Delta from raw_logistic with its 94% bootstrap interval over the 30 cells, and P = P[\mu_m &gt; \mu_{\text{raw}}] from the hierarchical model. The model’s posterior locations \mu_m are not listed: they are identified only up to the scene offsets (§4.1). All pairwise probabilities are in the companion artefact (cross_classification_bayesian.json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94% interval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topic_routed_soft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  <m:r>
                <m:t>0.003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0.007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topic_routed_hard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  <m:r>
                <m:t>0.008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0.006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pca_K_logistic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0.064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  <m:r>
                <m:t>0.099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0.031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  <m:r>
                <m:t>0.359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0.289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</w:tbl>
    <w:bookmarkEnd w:id="45"/>
    <w:p>
      <w:pPr>
        <w:pStyle w:val="BodyText"/>
      </w:pPr>
      <w:r>
        <w:t xml:space="preserve">The HIDSAG block (Table </w:t>
      </w:r>
      <w:hyperlink w:anchor="tab:b1-hidsag">
        <w:r>
          <w:rPr>
            <w:rStyle w:val="Hyperlink"/>
          </w:rPr>
          <w:t xml:space="preserve">2</w:t>
        </w:r>
      </w:hyperlink>
      <w:r>
        <w:t xml:space="preserve">) repeats the</w:t>
      </w:r>
      <w:r>
        <w:t xml:space="preserve"> </w:t>
      </w:r>
      <m:oMath>
        <m:r>
          <m:t>θ</m:t>
        </m:r>
      </m:oMath>
      <w:r>
        <w:t xml:space="preserve">-only</w:t>
      </w:r>
      <w:r>
        <w:t xml:space="preserve"> </w:t>
      </w:r>
      <w:r>
        <w:t xml:space="preserve">result. The topic-logistic classifier trails the raw-logistic baseline</w:t>
      </w:r>
      <w:r>
        <w:t xml:space="preserve"> </w:t>
      </w:r>
      <w:r>
        <w:t xml:space="preserve">by 0.268 macro-F1 (0.430 against 0.699; lower on 18 of the 19 targets;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topic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raw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</m:t>
        </m:r>
      </m:oMath>
      <w:r>
        <w:t xml:space="preserve">), and the cube-topic</w:t>
      </w:r>
      <w:r>
        <w:t xml:space="preserve"> </w:t>
      </w:r>
      <w:r>
        <w:t xml:space="preserve">and region-topic variants (both using a coarser, region-pooled</w:t>
      </w:r>
      <w:r>
        <w:t xml:space="preserve"> </w:t>
      </w:r>
      <m:oMath>
        <m:r>
          <m:t>θ</m:t>
        </m:r>
      </m:oMath>
      <w:r>
        <w:t xml:space="preserve">) are no better than the per-spectrum topic posterior. On</w:t>
      </w:r>
      <w:r>
        <w:t xml:space="preserve"> </w:t>
      </w:r>
      <w:r>
        <w:t xml:space="preserve">mineralogical SWIR data, as on the labelled scenes, the topic</w:t>
      </w:r>
      <w:r>
        <w:t xml:space="preserve"> </w:t>
      </w:r>
      <w:r>
        <w:t xml:space="preserve">proportions</w:t>
      </w:r>
      <w:r>
        <w:t xml:space="preserve"> </w:t>
      </w:r>
      <w:r>
        <w:rPr>
          <w:i/>
          <w:iCs/>
        </w:rPr>
        <w:t xml:space="preserve">discard</w:t>
      </w:r>
      <w:r>
        <w:t xml:space="preserve"> </w:t>
      </w:r>
      <w:r>
        <w:t xml:space="preserve">information that a multinomial logistic on</w:t>
      </w:r>
      <w:r>
        <w:t xml:space="preserve"> </w:t>
      </w:r>
      <w:r>
        <w:t xml:space="preserve">the raw spectrum exploits. This study has no HIDSAG results for the</w:t>
      </w:r>
      <w:r>
        <w:t xml:space="preserve"> </w:t>
      </w:r>
      <w:r>
        <w:t xml:space="preserve">topic-routed classifiers, so it cannot say whether routing the raw</w:t>
      </w:r>
      <w:r>
        <w:t xml:space="preserve"> </w:t>
      </w:r>
      <w:r>
        <w:t xml:space="preserve">spectrum through the topics would close the gap there.</w:t>
      </w:r>
    </w:p>
    <w:bookmarkStart w:id="46" w:name="tab:b1-hidsag"/>
    <w:p>
      <w:pPr>
        <w:pStyle w:val="TableCaption"/>
      </w:pPr>
      <w:r>
        <w:t xml:space="preserve">F-1 on the HIDSAG block (19 targets across five subsets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methods = 95 observations), in the format of</w:t>
      </w:r>
      <w:r>
        <w:t xml:space="preserve"> </w:t>
      </w:r>
      <w:r>
        <w:t xml:space="preserve">Table </w:t>
      </w:r>
      <w:hyperlink w:anchor="tab:b1-labelled">
        <w:r>
          <w:rPr>
            <w:rStyle w:val="Hyperlink"/>
          </w:rPr>
          <w:t xml:space="preserve">1</w:t>
        </w:r>
      </w:hyperlink>
      <w:r>
        <w:t xml:space="preserve">; intervals over the 19 paired targets.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-1 on the HIDSAG block (19 targets across five subsets \times five methods = 95 observations), in the format of Table 1; intervals over the 19 paired target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94% interval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pca_logistic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  <m:r>
                <m:t>0.050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0.003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0.268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  <m:r>
                <m:t>0.374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0.176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region_topic_logistic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0.307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  <m:r>
                <m:t>0.409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0.212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cube_topic_logistic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0.339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  <m:r>
                <m:t>0.437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0.246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</w:tbl>
    <w:bookmarkEnd w:id="46"/>
    <w:bookmarkEnd w:id="47"/>
    <w:bookmarkStart w:id="49" w:name="subsec:res-b3"/>
    <w:p>
      <w:pPr>
        <w:pStyle w:val="Heading2"/>
      </w:pPr>
      <w:r>
        <w:t xml:space="preserve">F-2 + F-3: coherence and seed stability of LDA, ProdLDA, ETM</w:t>
      </w:r>
    </w:p>
    <w:p>
      <w:pPr>
        <w:pStyle w:val="FirstParagraph"/>
      </w:pPr>
      <w:r>
        <w:t xml:space="preserve">Table </w:t>
      </w:r>
      <w:hyperlink w:anchor="tab:b3-see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seed-stability statistics on</w:t>
      </w:r>
      <w:r>
        <w:t xml:space="preserve"> </w:t>
      </w:r>
      <w:r>
        <w:t xml:space="preserve">Indian Pines for the three methods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seeds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Start w:id="48" w:name="tab:b3-seed"/>
    <w:p>
      <w:pPr>
        <w:pStyle w:val="TableCaption"/>
      </w:pPr>
      <w:r>
        <w:t xml:space="preserve">F-3 seed stability on Indian Pines,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seeds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KMeans-on-</w:t>
      </w:r>
      <m:oMath>
        <m:r>
          <m:t>θ</m:t>
        </m:r>
      </m:oMath>
      <w:r>
        <w:t xml:space="preserve"> </w:t>
      </w:r>
      <w:r>
        <w:t xml:space="preserve">vs ground-truth label.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-3 seed stability on Indian Pines, K=12, n_{\text{seeds}}=5. KMeans-on-\theta vs ground-truth label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ARI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ARI std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</w:t>
            </w:r>
          </w:p>
        </w:tc>
      </w:tr>
    </w:tbl>
    <w:bookmarkEnd w:id="48"/>
    <w:p>
      <w:pPr>
        <w:pStyle w:val="BodyText"/>
      </w:pPr>
      <w:r>
        <w:t xml:space="preserve">The seed-stability picture is more nuanced than the head-to-head ARI</w:t>
      </w:r>
      <w:r>
        <w:t xml:space="preserve"> </w:t>
      </w:r>
      <w:r>
        <w:t xml:space="preserve">ranking suggests. ProdLDA has the highest coherence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0.630</m:t>
        </m:r>
      </m:oMath>
      <w:r>
        <w:t xml:space="preserve">) and the lowest seed-to-seed variance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ARI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) but the lowest cluster ARI against</w:t>
      </w:r>
      <w:r>
        <w:t xml:space="preserve"> </w:t>
      </w:r>
      <w:r>
        <w:t xml:space="preserve">label. Among the neural variants, ETM reaches the highest cluster ARI</w:t>
      </w:r>
      <w:r>
        <w:t xml:space="preserve"> </w:t>
      </w:r>
      <w:r>
        <w:t xml:space="preserve">(</w:t>
      </w:r>
      <m:oMath>
        <m:r>
          <m:t>0.257</m:t>
        </m:r>
      </m:oMath>
      <w:r>
        <w:t xml:space="preserve">) at a much lower coherence. LDA without amortisation reaches the highest single-seed</w:t>
      </w:r>
      <w:r>
        <w:t xml:space="preserve"> </w:t>
      </w:r>
      <w:r>
        <w:t xml:space="preserve">ARI (</w:t>
      </w:r>
      <m:oMath>
        <m:r>
          <m:t>0.287</m:t>
        </m:r>
      </m:oMath>
      <w:r>
        <w:t xml:space="preserve"> </w:t>
      </w:r>
      <w:r>
        <w:t xml:space="preserve">on the head-to-head fit) but is not directly comparable</w:t>
      </w:r>
      <w:r>
        <w:t xml:space="preserve"> </w:t>
      </w:r>
      <w:r>
        <w:t xml:space="preserve">to the multi-seed mean-</w:t>
      </w:r>
      <m:oMath>
        <m:r>
          <m:rPr>
            <m:sty m:val="p"/>
          </m:rPr>
          <m:t>±</m:t>
        </m:r>
      </m:oMath>
      <w:r>
        <w:t xml:space="preserve">-std statistics of the neural variants.</w:t>
      </w:r>
      <w:r>
        <w:t xml:space="preserve"> </w:t>
      </w:r>
      <w:r>
        <w:t xml:space="preserve">The methodological consequence:</w:t>
      </w:r>
      <w:r>
        <w:t xml:space="preserve"> </w:t>
      </w:r>
      <w:r>
        <w:rPr>
          <w:i/>
          <w:iCs/>
        </w:rPr>
        <w:t xml:space="preserve">ranking by ARI alone inverts</w:t>
      </w:r>
      <w:r>
        <w:rPr>
          <w:i/>
          <w:iCs/>
        </w:rPr>
        <w:t xml:space="preserve"> </w:t>
      </w:r>
      <w:r>
        <w:rPr>
          <w:i/>
          <w:iCs/>
        </w:rPr>
        <w:t xml:space="preserve">the ranking by coherence</w:t>
      </w:r>
      <w:r>
        <w:t xml:space="preserve">, and a paper that picks one of the two</w:t>
      </w:r>
      <w:r>
        <w:t xml:space="preserve"> </w:t>
      </w:r>
      <w:r>
        <w:t xml:space="preserve">metrics in isolation will reach a different methodological conclusion.</w:t>
      </w:r>
    </w:p>
    <w:bookmarkEnd w:id="49"/>
    <w:bookmarkStart w:id="58" w:name="subsec:res-b5"/>
    <w:p>
      <w:pPr>
        <w:pStyle w:val="Heading2"/>
      </w:pPr>
      <w:r>
        <w:t xml:space="preserve">F-5: band-mask robustness</w:t>
      </w:r>
    </w:p>
    <w:bookmarkStart w:id="53" w:name="fig:paired-ari-heatmap"/>
    <w:p>
      <w:pPr>
        <w:pStyle w:val="CaptionedFigure"/>
      </w:pPr>
      <w:r>
        <w:drawing>
          <wp:inline>
            <wp:extent cx="4572000" cy="3657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aired-ari-heatmap.pd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F-5 paired ARI heatmap across (scene, mask) tuples. KSC</w:t>
      </w:r>
      <w:r>
        <w:t xml:space="preserve"> </w:t>
      </w:r>
      <w:r>
        <w:t xml:space="preserve">paired ARI sits at</w:t>
      </w:r>
      <w:r>
        <w:t xml:space="preserve"> </w:t>
      </w:r>
      <m:oMath>
        <m:r>
          <m:t>0.007</m:t>
        </m:r>
      </m:oMath>
      <w:r>
        <w:t xml:space="preserve">–</w:t>
      </w:r>
      <m:oMath>
        <m:r>
          <m:t>0.013</m:t>
        </m:r>
      </m:oMath>
      <w:r>
        <w:t xml:space="preserve"> </w:t>
      </w:r>
      <w:r>
        <w:t xml:space="preserve">across all four masks</w:t>
      </w:r>
      <w:r>
        <w:t xml:space="preserve"> </w:t>
      </w:r>
      <w:r>
        <w:t xml:space="preserve">(band-fragile regime); Botswana shows a mixed pattern (SWIR</w:t>
      </w:r>
      <w:r>
        <w:t xml:space="preserve"> </w:t>
      </w:r>
      <m:oMath>
        <m:r>
          <m:t>0.013</m:t>
        </m:r>
      </m:oMath>
      <w:r>
        <w:t xml:space="preserve"> </w:t>
      </w:r>
      <w:r>
        <w:t xml:space="preserve">band-fragile; VNIR</w:t>
      </w:r>
      <w:r>
        <w:t xml:space="preserve"> </w:t>
      </w:r>
      <m:oMath>
        <m:r>
          <m:t>0.108</m:t>
        </m:r>
      </m:oMath>
      <w:r>
        <w:t xml:space="preserve">, no-water</w:t>
      </w:r>
      <w:r>
        <w:t xml:space="preserve"> </w:t>
      </w:r>
      <m:oMath>
        <m:r>
          <m:t>0.127</m:t>
        </m:r>
      </m:oMath>
      <w:r>
        <w:t xml:space="preserve">, top-50 Fisher</w:t>
      </w:r>
      <w:r>
        <w:t xml:space="preserve"> </w:t>
      </w:r>
      <m:oMath>
        <m:r>
          <m:t>0.117</m:t>
        </m:r>
      </m:oMath>
      <w:r>
        <w:t xml:space="preserve"> </w:t>
      </w:r>
      <w:r>
        <w:t xml:space="preserve">indicating partial structure under those masks); Salinas-A under</w:t>
      </w:r>
      <w:r>
        <w:t xml:space="preserve"> </w:t>
      </w:r>
      <w:r>
        <w:t xml:space="preserve">SWIR-only reaches</w:t>
      </w:r>
      <w:r>
        <w:t xml:space="preserve"> </w:t>
      </w:r>
      <m:oMath>
        <m:r>
          <m:t>0.766</m:t>
        </m:r>
      </m:oMath>
      <w:r>
        <w:t xml:space="preserve"> </w:t>
      </w:r>
      <w:r>
        <w:t xml:space="preserve">(band-robust regime). The remaining tuples</w:t>
      </w:r>
      <w:r>
        <w:t xml:space="preserve"> </w:t>
      </w:r>
      <w:r>
        <w:t xml:space="preserve">fall in the partial-robustness range</w:t>
      </w:r>
      <w:r>
        <w:t xml:space="preserve"> </w:t>
      </w:r>
      <m:oMath>
        <m:r>
          <m:t>0.35</m:t>
        </m:r>
      </m:oMath>
      <w:r>
        <w:t xml:space="preserve">–</w:t>
      </w:r>
      <m:oMath>
        <m:r>
          <m:t>0.54</m:t>
        </m:r>
      </m:oMath>
      <w:r>
        <w:t xml:space="preserve">. Pavia U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SWIR is auto-skipped (sensor is VNIR-only).</w:t>
      </w:r>
    </w:p>
    <w:bookmarkEnd w:id="53"/>
    <w:bookmarkStart w:id="57" w:name="fig:hungarian-example"/>
    <w:p>
      <w:pPr>
        <w:pStyle w:val="CaptionedFigure"/>
      </w:pPr>
      <w:r>
        <w:drawing>
          <wp:inline>
            <wp:extent cx="4267200" cy="207084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hungarian-alignment-example.pdf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F-8 Hungarian topic-id alignment on Salinas-A under SWIR-only</w:t>
      </w:r>
      <w:r>
        <w:t xml:space="preserve"> </w:t>
      </w:r>
      <w:r>
        <w:t xml:space="preserve">restriction. Lime rectangles mark the maximum-weight bipartite match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the diagonal under permutation dominates, consistent with</w:t>
      </w:r>
      <w:r>
        <w:t xml:space="preserve"> </w:t>
      </w:r>
      <w:r>
        <w:t xml:space="preserve">the high paired ARI (</w:t>
      </w:r>
      <m:oMath>
        <m:r>
          <m:t>0.766</m:t>
        </m:r>
      </m:oMath>
      <w:r>
        <w:t xml:space="preserve">) and the low swap rate (</w:t>
      </w:r>
      <m:oMath>
        <m:r>
          <m:t>0.176</m:t>
        </m:r>
      </m:oMath>
      <w:r>
        <w:t xml:space="preserve">) on this</w:t>
      </w:r>
      <w:r>
        <w:t xml:space="preserve"> </w:t>
      </w:r>
      <w:r>
        <w:t xml:space="preserve">(scene, mask) tuple.</w:t>
      </w:r>
    </w:p>
    <w:bookmarkEnd w:id="57"/>
    <w:p>
      <w:pPr>
        <w:pStyle w:val="BodyText"/>
      </w:pPr>
      <w:r>
        <w:t xml:space="preserve">Table </w:t>
      </w:r>
      <w:hyperlink w:anchor="tab:b5-band-mask">
        <w:r>
          <w:rPr>
            <w:rStyle w:val="Hyperlink"/>
          </w:rPr>
          <w:t xml:space="preserve">[tab:b5-band-mask]</w:t>
        </w:r>
      </w:hyperlink>
      <w:r>
        <w:t xml:space="preserve"> </w:t>
      </w:r>
      <w:r>
        <w:t xml:space="preserve">and Fig. </w:t>
      </w:r>
      <w:hyperlink w:anchor="fig:paired-ari-heatma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 the paired ARI across (scene,</w:t>
      </w:r>
      <w:r>
        <w:t xml:space="preserve"> </w:t>
      </w:r>
      <w:r>
        <w:t xml:space="preserve">mask) tuples on the six labelled scenes. The dominant observation is</w:t>
      </w:r>
      <w:r>
        <w:t xml:space="preserve"> </w:t>
      </w:r>
      <w:r>
        <w:t xml:space="preserve">the sharp split between</w:t>
      </w:r>
      <w:r>
        <w:t xml:space="preserve"> </w:t>
      </w:r>
      <w:r>
        <w:rPr>
          <w:i/>
          <w:iCs/>
        </w:rPr>
        <w:t xml:space="preserve">band-fragile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band-robust</w:t>
      </w:r>
      <w:r>
        <w:t xml:space="preserve"> </w:t>
      </w:r>
      <w:r>
        <w:t xml:space="preserve">scenes. KSC paired ARI ranges from</w:t>
      </w:r>
      <w:r>
        <w:t xml:space="preserve"> </w:t>
      </w:r>
      <m:oMath>
        <m:r>
          <m:t>0.007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0.013</m:t>
        </m:r>
      </m:oMath>
      <w:r>
        <w:t xml:space="preserve"> </w:t>
      </w:r>
      <w:r>
        <w:t xml:space="preserve">across all four</w:t>
      </w:r>
      <w:r>
        <w:t xml:space="preserve"> </w:t>
      </w:r>
      <w:r>
        <w:t xml:space="preserve">masks: the masked LDA assigns pixels to topics with effectively</w:t>
      </w:r>
      <w:r>
        <w:t xml:space="preserve"> </w:t>
      </w:r>
      <w:r>
        <w:t xml:space="preserve">chance-level agreement with the canonical fit. Botswana sits in the</w:t>
      </w:r>
      <w:r>
        <w:t xml:space="preserve"> </w:t>
      </w:r>
      <w:r>
        <w:t xml:space="preserve">same regime only under SWIR (</w:t>
      </w:r>
      <m:oMath>
        <m:r>
          <m:t>0.013</m:t>
        </m:r>
      </m:oMath>
      <w:r>
        <w:t xml:space="preserve">); under VNIR (</w:t>
      </w:r>
      <m:oMath>
        <m:r>
          <m:t>0.108</m:t>
        </m:r>
      </m:oMath>
      <w:r>
        <w:t xml:space="preserve">), no-water</w:t>
      </w:r>
      <w:r>
        <w:t xml:space="preserve"> </w:t>
      </w:r>
      <w:r>
        <w:t xml:space="preserve">(</w:t>
      </w:r>
      <m:oMath>
        <m:r>
          <m:t>0.127</m:t>
        </m:r>
      </m:oMath>
      <w:r>
        <w:t xml:space="preserve">) and top-50 Fisher (</w:t>
      </w:r>
      <m:oMath>
        <m:r>
          <m:t>0.117</m:t>
        </m:r>
      </m:oMath>
      <w:r>
        <w:t xml:space="preserve">) it reaches</w:t>
      </w:r>
      <w:r>
        <w:t xml:space="preserve"> </w:t>
      </w:r>
      <m:oMath>
        <m:r>
          <m:t>0.11</m:t>
        </m:r>
      </m:oMath>
      <w:r>
        <w:t xml:space="preserve">–</w:t>
      </w:r>
      <m:oMath>
        <m:r>
          <m:t>0.13</m:t>
        </m:r>
      </m:oMath>
      <w:r>
        <w:t xml:space="preserve">, still</w:t>
      </w:r>
      <w:r>
        <w:t xml:space="preserve"> </w:t>
      </w:r>
      <w:r>
        <w:t xml:space="preserve">well below the labelled-scene average. The canonical-fit topic</w:t>
      </w:r>
      <w:r>
        <w:t xml:space="preserve"> </w:t>
      </w:r>
      <w:r>
        <w:t xml:space="preserve">identity on these scenes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recoverable from any</w:t>
      </w:r>
      <w:r>
        <w:t xml:space="preserve"> </w:t>
      </w:r>
      <w:r>
        <w:t xml:space="preserve">reasonable band subset. Salinas-A under SWIR-only restriction reaches</w:t>
      </w:r>
      <w:r>
        <w:t xml:space="preserve"> </w:t>
      </w:r>
      <w:r>
        <w:t xml:space="preserve">paired ARI</w:t>
      </w:r>
      <w:r>
        <w:t xml:space="preserve"> </w:t>
      </w:r>
      <m:oMath>
        <m:r>
          <m:rPr>
            <m:sty m:val="p"/>
          </m:rPr>
          <m:t>=</m:t>
        </m:r>
        <m:r>
          <m:t>0.766</m:t>
        </m:r>
      </m:oMath>
      <w:r>
        <w:t xml:space="preserve">: the masked fit recovers nearly the same</w:t>
      </w:r>
      <w:r>
        <w:t xml:space="preserve"> </w:t>
      </w:r>
      <w:r>
        <w:t xml:space="preserve">partition (Fig. </w:t>
      </w:r>
      <w:hyperlink w:anchor="fig:hungarian-example">
        <w:r>
          <w:rPr>
            <w:rStyle w:val="Hyperlink"/>
          </w:rPr>
          <w:t xml:space="preserve">3</w:t>
        </w:r>
      </w:hyperlink>
      <w:r>
        <w:t xml:space="preserve">), indicating that the spectral signature carried by the</w:t>
      </w:r>
      <w:r>
        <w:t xml:space="preserve"> </w:t>
      </w:r>
      <w:r>
        <w:t xml:space="preserve">SWIR bands is sufficient to identify the canonical structure of this</w:t>
      </w:r>
      <w:r>
        <w:t xml:space="preserve"> </w:t>
      </w:r>
      <w:r>
        <w:t xml:space="preserve">scene.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Paired ARI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Bands kept of</w:t>
            </w:r>
            <w:r>
              <w:t xml:space="preserve"> </w:t>
            </w: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</w:t>
            </w:r>
            <w:r>
              <w:t xml:space="preserve">(lr)</w:t>
            </w:r>
            <w:r>
              <w:t xml:space="preserve">6-9</w:t>
            </w:r>
            <w:r>
              <w:t xml:space="preserve"> </w:t>
            </w: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University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103/103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103/103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Space 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59/176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117/176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155/176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49/145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97/145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127/145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50/145</w:t>
            </w:r>
          </w:p>
        </w:tc>
      </w:tr>
    </w:tbl>
    <w:bookmarkEnd w:id="58"/>
    <w:bookmarkStart w:id="59" w:name="f-6-cross-method-clustering-agreement"/>
    <w:p>
      <w:pPr>
        <w:pStyle w:val="Heading2"/>
      </w:pPr>
      <w:r>
        <w:t xml:space="preserve">F-6: cross-method clustering agreement</w:t>
      </w:r>
    </w:p>
    <w:p>
      <w:pPr>
        <w:pStyle w:val="FirstParagraph"/>
      </w:pPr>
      <w:r>
        <w:t xml:space="preserve">Table </w:t>
      </w:r>
      <w:hyperlink w:anchor="tab:b6-cross-method">
        <w:r>
          <w:rPr>
            <w:rStyle w:val="Hyperlink"/>
          </w:rPr>
          <w:t xml:space="preserve">[tab:b6-cross-method]</w:t>
        </w:r>
      </w:hyperlink>
      <w:r>
        <w:t xml:space="preserve"> </w:t>
      </w:r>
      <w:r>
        <w:t xml:space="preserve">reports the all-pairs ARI matrix on</w:t>
      </w:r>
      <w:r>
        <w:t xml:space="preserve"> </w:t>
      </w:r>
      <w:r>
        <w:t xml:space="preserve">Indian Pines. The dominant observation: the canonical topic-dominant</w:t>
      </w:r>
      <w:r>
        <w:t xml:space="preserve"> </w:t>
      </w:r>
      <w:r>
        <w:t xml:space="preserve">map has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pairwise ARI against the spatial-segmentation</w:t>
      </w:r>
      <w:r>
        <w:t xml:space="preserve"> </w:t>
      </w:r>
      <w:r>
        <w:t xml:space="preserve">partitions (SLIC, Felzenszwalb, patches) but the label–topic ARI is</w:t>
      </w:r>
      <w:r>
        <w:t xml:space="preserve"> </w:t>
      </w:r>
      <m:oMath>
        <m:r>
          <m:t>0.203</m:t>
        </m:r>
      </m:oMath>
      <w:r>
        <w:t xml:space="preserve">, comparable to the SLIC-500-vs-label ARI</w:t>
      </w:r>
      <w:r>
        <w:t xml:space="preserve"> </w:t>
      </w:r>
      <m:oMath>
        <m:r>
          <m:t>0.227</m:t>
        </m:r>
      </m:oMath>
      <w:r>
        <w:t xml:space="preserve">. The two</w:t>
      </w:r>
      <w:r>
        <w:t xml:space="preserve"> </w:t>
      </w:r>
      <w:r>
        <w:t xml:space="preserve">partitions are arriving at similar accuracy levels through different</w:t>
      </w:r>
      <w:r>
        <w:t xml:space="preserve"> </w:t>
      </w:r>
      <w:r>
        <w:t xml:space="preserve">inductive biases; the cross-method agreement matrix surfaces this in</w:t>
      </w:r>
      <w:r>
        <w:t xml:space="preserve"> </w:t>
      </w:r>
      <w:r>
        <w:t xml:space="preserve">a way that the per-method OA bar chart hides.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topic-dom.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felz.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SLIC-500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SLIC-2000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patch-15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patch-7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topic-dominant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felzenszwalb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SLIC-500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SLIC-2000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59"/>
    <w:bookmarkStart w:id="61" w:name="Xac41ea385cdcc594014e37211af8a3133148ea1"/>
    <w:p>
      <w:pPr>
        <w:pStyle w:val="Heading2"/>
      </w:pPr>
      <w:r>
        <w:t xml:space="preserve">F-7 + F-8: topic–label coupling and per-topic identity</w:t>
      </w:r>
    </w:p>
    <w:p>
      <w:pPr>
        <w:pStyle w:val="FirstParagraph"/>
      </w:pPr>
      <w:r>
        <w:t xml:space="preserve">We use the per-topic KL divergence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r>
              <m:rPr>
                <m:sty m:val="p"/>
              </m:rPr>
              <m:t>∥</m:t>
            </m:r>
            <m:r>
              <m:t> </m:t>
            </m:r>
            <m:r>
              <m:t>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between the empirical</w:t>
      </w:r>
      <w:r>
        <w:t xml:space="preserve"> </w:t>
      </w:r>
      <w:r>
        <w:t xml:space="preserve">distribution of ground-truth labels conditioned on topic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marginal label distribution as a per-topic concentration measure;</w:t>
      </w:r>
      <w:r>
        <w:t xml:space="preserve"> </w:t>
      </w:r>
      <w:r>
        <w:t xml:space="preserve">the within-scene mean and max over the canonical-fit topics</w:t>
      </w:r>
      <w:r>
        <w:t xml:space="preserve"> </w:t>
      </w:r>
      <w:r>
        <w:t xml:space="preserve">are reported in Table </w:t>
      </w:r>
      <w:hyperlink w:anchor="tab:b7-coupling">
        <w:r>
          <w:rPr>
            <w:rStyle w:val="Hyperlink"/>
          </w:rPr>
          <w:t xml:space="preserve">4</w:t>
        </w:r>
      </w:hyperlink>
      <w:r>
        <w:t xml:space="preserve">, computed from the</w:t>
      </w:r>
      <w:r>
        <w:t xml:space="preserve"> </w:t>
      </w:r>
      <w:r>
        <w:rPr>
          <w:rStyle w:val="VerbatimChar"/>
        </w:rPr>
        <w:t xml:space="preserve">kl_to_label_prior_per_topic</w:t>
      </w:r>
      <w:r>
        <w:t xml:space="preserve"> </w:t>
      </w:r>
      <w:r>
        <w:t xml:space="preserve">field of</w:t>
      </w:r>
      <w:r>
        <w:t xml:space="preserve"> </w:t>
      </w:r>
      <w:r>
        <w:rPr>
          <w:rStyle w:val="VerbatimChar"/>
        </w:rPr>
        <w:t xml:space="preserve">topic_to_data/&lt;scene&gt;.json</w:t>
      </w:r>
      <w:r>
        <w:t xml:space="preserve">.</w:t>
      </w:r>
    </w:p>
    <w:bookmarkStart w:id="60" w:name="tab:b7-coupling"/>
    <w:p>
      <w:pPr>
        <w:pStyle w:val="TableCaption"/>
      </w:pPr>
      <w:r>
        <w:t xml:space="preserve">F-7 topic–label coupling: per-topic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mean and max on the</w:t>
      </w:r>
      <w:r>
        <w:t xml:space="preserve"> </w:t>
      </w:r>
      <w:r>
        <w:rPr>
          <w:i/>
          <w:iCs/>
        </w:rPr>
        <w:t xml:space="preserve">canonical fit</w:t>
      </w:r>
      <w:r>
        <w:t xml:space="preserve"> </w:t>
      </w:r>
      <w:r>
        <w:t xml:space="preserve">of each labelled scene (i.e. the no-mask</w:t>
      </w:r>
      <w:r>
        <w:t xml:space="preserve"> </w:t>
      </w:r>
      <w:r>
        <w:t xml:space="preserve">LDA fit). Higher values denote more sharply label-aligned topics.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-7 topic–label coupling: per-topic \mathrm{KL}(P(L\mid t) \,\|\, P(L)) mean and max on the canonical fit of each labelled scene (i.e. the no-mask LDA fit). Higher values denote more sharply label-aligned topic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KL mean (nats)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KL max (nats)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University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Space 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3.37</w:t>
            </w:r>
          </w:p>
        </w:tc>
      </w:tr>
    </w:tbl>
    <w:bookmarkEnd w:id="60"/>
    <w:bookmarkEnd w:id="61"/>
    <w:bookmarkStart w:id="62" w:name="Xd1d532a534e6c3af75cae0fb712747e9ce6a8ff"/>
    <w:p>
      <w:pPr>
        <w:pStyle w:val="Heading2"/>
      </w:pPr>
      <w:r>
        <w:t xml:space="preserve">Combining F-5 and F-1: band-fragile or label-recoverable?</w:t>
      </w:r>
    </w:p>
    <w:p>
      <w:pPr>
        <w:pStyle w:val="FirstParagraph"/>
      </w:pPr>
      <w:r>
        <w:t xml:space="preserve">A scene’s appearance in the band-fragile regime (paired ARI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) does not, by itself, imply low classifier accuracy on</w:t>
      </w:r>
      <w:r>
        <w:t xml:space="preserve"> </w:t>
      </w:r>
      <w:r>
        <w:t xml:space="preserve">that scene. Botswana paired ARI is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 </w:t>
      </w:r>
      <w:r>
        <w:t xml:space="preserve">on SWIR but the</w:t>
      </w:r>
      <w:r>
        <w:t xml:space="preserve"> </w:t>
      </w:r>
      <w:r>
        <w:t xml:space="preserve">mask-vs-label ARI on the same fit is</w:t>
      </w:r>
      <w:r>
        <w:t xml:space="preserve"> </w:t>
      </w:r>
      <m:oMath>
        <m:r>
          <m:t>0.098</m:t>
        </m:r>
      </m:oMath>
      <w:r>
        <w:t xml:space="preserve"> </w:t>
      </w:r>
      <w:r>
        <w:t xml:space="preserve">(within range of</w:t>
      </w:r>
      <w:r>
        <w:t xml:space="preserve"> </w:t>
      </w:r>
      <w:r>
        <w:t xml:space="preserve">labelled-scene comparable values). The two metrics are measuring</w:t>
      </w:r>
      <w:r>
        <w:t xml:space="preserve"> </w:t>
      </w:r>
      <w:r>
        <w:t xml:space="preserve">different things: paired ARI(canonical, masked) asks whether the</w:t>
      </w:r>
      <w:r>
        <w:t xml:space="preserve"> </w:t>
      </w:r>
      <w:r>
        <w:t xml:space="preserve">canonical topic identities survive a band restriction, while</w:t>
      </w:r>
      <w:r>
        <w:t xml:space="preserve"> </w:t>
      </w:r>
      <w:r>
        <w:t xml:space="preserve">ARI(masked, label) asks whether the masked fit still discriminates</w:t>
      </w:r>
      <w:r>
        <w:t xml:space="preserve"> </w:t>
      </w:r>
      <w:r>
        <w:t xml:space="preserve">the classes. A band-fragile scene with a non-zero mask-vs-label ARI</w:t>
      </w:r>
      <w:r>
        <w:t xml:space="preserve"> </w:t>
      </w:r>
      <w:r>
        <w:t xml:space="preserve">is one on which the topic basis is being</w:t>
      </w:r>
      <w:r>
        <w:t xml:space="preserve"> </w:t>
      </w:r>
      <w:r>
        <w:rPr>
          <w:i/>
          <w:iCs/>
        </w:rPr>
        <w:t xml:space="preserve">re-derived from</w:t>
      </w:r>
      <w:r>
        <w:rPr>
          <w:i/>
          <w:iCs/>
        </w:rPr>
        <w:t xml:space="preserve"> </w:t>
      </w:r>
      <w:r>
        <w:rPr>
          <w:i/>
          <w:iCs/>
        </w:rPr>
        <w:t xml:space="preserve">scratch</w:t>
      </w:r>
      <w:r>
        <w:t xml:space="preserve"> </w:t>
      </w:r>
      <w:r>
        <w:t xml:space="preserve">under each mask, with topic identity unstable but topic</w:t>
      </w:r>
      <w:r>
        <w:t xml:space="preserve"> </w:t>
      </w:r>
      <w:r>
        <w:t xml:space="preserve">discriminability preserved.</w:t>
      </w:r>
    </w:p>
    <w:bookmarkEnd w:id="62"/>
    <w:bookmarkStart w:id="63" w:name="synthesis-per-scene-model-card"/>
    <w:p>
      <w:pPr>
        <w:pStyle w:val="Heading2"/>
      </w:pPr>
      <w:r>
        <w:t xml:space="preserve">Synthesis: per-scene model card</w:t>
      </w:r>
    </w:p>
    <w:p>
      <w:pPr>
        <w:pStyle w:val="FirstParagraph"/>
      </w:pPr>
      <w:r>
        <w:t xml:space="preserve">Table </w:t>
      </w:r>
      <w:hyperlink w:anchor="tab:summary">
        <w:r>
          <w:rPr>
            <w:rStyle w:val="Hyperlink"/>
          </w:rPr>
          <w:t xml:space="preserve">[tab:summary]</w:t>
        </w:r>
      </w:hyperlink>
      <w:r>
        <w:t xml:space="preserve"> </w:t>
      </w:r>
      <w:r>
        <w:t xml:space="preserve">consolidates the per-scene values across</w:t>
      </w:r>
      <w:r>
        <w:t xml:space="preserve"> </w:t>
      </w:r>
      <w:r>
        <w:t xml:space="preserve">axes F-1, F-2, F-3, F-5, F-7 for the labelled scenes. We argue that this</w:t>
      </w:r>
      <w:r>
        <w:t xml:space="preserve"> </w:t>
      </w:r>
      <w:r>
        <w:t xml:space="preserve">synthesis, not the single OA number, is the appropriate unit of</w:t>
      </w:r>
      <w:r>
        <w:t xml:space="preserve"> </w:t>
      </w:r>
      <w:r>
        <w:t xml:space="preserve">reporting for a topic model on HSI.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F-1 (macro-F1)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F-2 (</w:t>
            </w: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F-3 (ARI, 1 seed)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F-5 (max paired)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F-7 (KL nats)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University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Space 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</w:tr>
    </w:tbl>
    <w:p>
      <w:pPr>
        <w:pStyle w:val="BodyText"/>
      </w:pPr>
      <w:r>
        <w:t xml:space="preserve">The F-1 column spans 0.819 (Pavia University) to 0.996 (Salinas-A),</w:t>
      </w:r>
      <w:r>
        <w:t xml:space="preserve"> </w:t>
      </w:r>
      <w:r>
        <w:t xml:space="preserve">and it does not track band robustness: the two band-fragile scenes,</w:t>
      </w:r>
      <w:r>
        <w:t xml:space="preserve"> </w:t>
      </w:r>
      <w:r>
        <w:t xml:space="preserve">Kennedy Space Center and Botswana (F-5 of 0.013 and 0.127), have the</w:t>
      </w:r>
      <w:r>
        <w:t xml:space="preserve"> </w:t>
      </w:r>
      <w:r>
        <w:t xml:space="preserve">fourth- and second-highest F-1.</w:t>
      </w:r>
    </w:p>
    <w:bookmarkEnd w:id="63"/>
    <w:bookmarkEnd w:id="64"/>
    <w:bookmarkStart w:id="69" w:name="sec:discuss"/>
    <w:p>
      <w:pPr>
        <w:pStyle w:val="Heading1"/>
      </w:pPr>
      <w:r>
        <w:t xml:space="preserve">Discussion</w:t>
      </w:r>
    </w:p>
    <w:bookmarkStart w:id="65" w:name="Xe8604f51c6720b045690e1dcf8ccad1a9af7892"/>
    <w:p>
      <w:pPr>
        <w:pStyle w:val="Heading2"/>
      </w:pPr>
      <w:r>
        <w:t xml:space="preserve">Why the band-mask diagnostic separates scenes</w:t>
      </w:r>
    </w:p>
    <w:p>
      <w:pPr>
        <w:pStyle w:val="FirstParagraph"/>
      </w:pPr>
      <w:r>
        <w:t xml:space="preserve">The split between</w:t>
      </w:r>
      <w:r>
        <w:t xml:space="preserve"> </w:t>
      </w:r>
      <w:r>
        <w:rPr>
          <w:i/>
          <w:iCs/>
        </w:rPr>
        <w:t xml:space="preserve">band-fragile</w:t>
      </w:r>
      <w:r>
        <w:t xml:space="preserve"> </w:t>
      </w:r>
      <w:r>
        <w:t xml:space="preserve">(KSC, Botswana) and</w:t>
      </w:r>
      <w:r>
        <w:t xml:space="preserve"> </w:t>
      </w:r>
      <w:r>
        <w:rPr>
          <w:i/>
          <w:iCs/>
        </w:rPr>
        <w:t xml:space="preserve">band-robust</w:t>
      </w:r>
      <w:r>
        <w:t xml:space="preserve"> </w:t>
      </w:r>
      <w:r>
        <w:t xml:space="preserve">(Salinas-A) scenes is, on its face, surprising:</w:t>
      </w:r>
      <w:r>
        <w:t xml:space="preserve"> </w:t>
      </w:r>
      <w:r>
        <w:t xml:space="preserve">KSC and Botswana have rich spectral signatures, broad spatial</w:t>
      </w:r>
      <w:r>
        <w:t xml:space="preserve"> </w:t>
      </w:r>
      <w:r>
        <w:t xml:space="preserve">coverage, and a comparable per-class sample budget to Salinas-A. Two</w:t>
      </w:r>
      <w:r>
        <w:t xml:space="preserve"> </w:t>
      </w:r>
      <w:r>
        <w:t xml:space="preserve">mechanisms are consistent with the diagnostic.</w:t>
      </w:r>
    </w:p>
    <w:p>
      <w:pPr>
        <w:pStyle w:val="BodyText"/>
      </w:pPr>
      <w:r>
        <w:rPr>
          <w:i/>
          <w:iCs/>
        </w:rPr>
        <w:t xml:space="preserve">Mechanism (i): canonical topics exploit band-level redundancy.</w:t>
      </w:r>
      <w:r>
        <w:t xml:space="preserve"> </w:t>
      </w:r>
      <w:r>
        <w:t xml:space="preserve">The canonical fit may be using fine-grained spectral co-variation</w:t>
      </w:r>
      <w:r>
        <w:t xml:space="preserve"> </w:t>
      </w:r>
      <w:r>
        <w:t xml:space="preserve">patterns that are present in the full-band representation and disappear</w:t>
      </w:r>
      <w:r>
        <w:t xml:space="preserve"> </w:t>
      </w:r>
      <w:r>
        <w:t xml:space="preserve">when half the bands are dropped. Under this mechanism the canonical</w:t>
      </w:r>
      <w:r>
        <w:t xml:space="preserve"> </w:t>
      </w:r>
      <w:r>
        <w:t xml:space="preserve">basis is not</w:t>
      </w:r>
      <w:r>
        <w:t xml:space="preserve"> </w:t>
      </w:r>
      <w:r>
        <w:rPr>
          <w:i/>
          <w:iCs/>
        </w:rPr>
        <w:t xml:space="preserve">wrong</w:t>
      </w:r>
      <w:r>
        <w:t xml:space="preserve">, but it is</w:t>
      </w:r>
      <w:r>
        <w:t xml:space="preserve"> </w:t>
      </w:r>
      <w:r>
        <w:rPr>
          <w:i/>
          <w:iCs/>
        </w:rPr>
        <w:t xml:space="preserve">not transportable</w:t>
      </w:r>
      <w:r>
        <w:t xml:space="preserve"> </w:t>
      </w:r>
      <w:r>
        <w:t xml:space="preserve">across</w:t>
      </w:r>
      <w:r>
        <w:t xml:space="preserve"> </w:t>
      </w:r>
      <w:r>
        <w:t xml:space="preserve">spectral windows. Any claim of the form</w:t>
      </w:r>
      <w:r>
        <w:t xml:space="preserve"> </w:t>
      </w:r>
      <w:r>
        <w:t xml:space="preserve">“topic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corresponds to a</w:t>
      </w:r>
      <w:r>
        <w:t xml:space="preserve"> </w:t>
      </w:r>
      <w:r>
        <w:t xml:space="preserve">specific land-cover signature”</w:t>
      </w:r>
      <w:r>
        <w:t xml:space="preserve"> </w:t>
      </w:r>
      <w:r>
        <w:t xml:space="preserve">presupposes a fixed reference frame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defined; the diagnostic shows that on KSC and</w:t>
      </w:r>
      <w:r>
        <w:t xml:space="preserve"> </w:t>
      </w:r>
      <w:r>
        <w:t xml:space="preserve">Botswana this reference frame is band-window-conditional.</w:t>
      </w:r>
    </w:p>
    <w:p>
      <w:pPr>
        <w:pStyle w:val="BodyText"/>
      </w:pPr>
      <w:r>
        <w:rPr>
          <w:i/>
          <w:iCs/>
        </w:rPr>
        <w:t xml:space="preserve">Mechanism (ii): the canonical topics are weakly identified.</w:t>
      </w:r>
      <w:r>
        <w:t xml:space="preserve"> </w:t>
      </w:r>
      <w:r>
        <w:t xml:space="preserve">KSC has 13 classes and, at the canonical 220 samples per class,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2686</m:t>
        </m:r>
      </m:oMath>
      <w:r>
        <w:t xml:space="preserve"> </w:t>
      </w:r>
      <w:r>
        <w:t xml:space="preserve">documents; Botswana has 14 classes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2775</m:t>
        </m:r>
      </m:oMath>
      <w:r>
        <w:t xml:space="preserve">. The latent topic basis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≈</m:t>
        </m:r>
        <m:r>
          <m:t>12</m:t>
        </m:r>
        <m:r>
          <m:rPr>
            <m:sty m:val="p"/>
          </m:rPr>
          <m:t>×</m:t>
        </m:r>
        <m:r>
          <m:t>176</m:t>
        </m:r>
      </m:oMath>
      <w:r>
        <w:t xml:space="preserve"> </w:t>
      </w:r>
      <w:r>
        <w:t xml:space="preserve">free parameters on KSC.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2686</m:t>
        </m:r>
      </m:oMath>
      <w:r>
        <w:t xml:space="preserve"> </w:t>
      </w:r>
      <w:r>
        <w:t xml:space="preserve">and a per-document token budget bounded by 13</w:t>
      </w:r>
      <w:r>
        <w:t xml:space="preserve"> </w:t>
      </w:r>
      <w:r>
        <w:t xml:space="preserve">quantisation levels times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bands, the data-to-parameter ratio is</w:t>
      </w:r>
      <w:r>
        <w:t xml:space="preserve"> </w:t>
      </w:r>
      <w:r>
        <w:t xml:space="preserve">unfavourable; the posterior over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has substantial mass over</w:t>
      </w:r>
      <w:r>
        <w:t xml:space="preserve"> </w:t>
      </w:r>
      <w:r>
        <w:t xml:space="preserve">many high-likelihood configurations, and a band restriction selects a</w:t>
      </w:r>
      <w:r>
        <w:t xml:space="preserve"> </w:t>
      </w:r>
      <w:r>
        <w:t xml:space="preserve">different posterior mode of the same family.</w:t>
      </w:r>
    </w:p>
    <w:p>
      <w:pPr>
        <w:pStyle w:val="BodyText"/>
      </w:pPr>
      <w:r>
        <w:t xml:space="preserve">The diagnostic does not distinguish (i) from (ii); both are valid</w:t>
      </w:r>
      <w:r>
        <w:t xml:space="preserve"> </w:t>
      </w:r>
      <w:r>
        <w:t xml:space="preserve">warnings to a downstream consumer of the topic basis. The framework’s</w:t>
      </w:r>
      <w:r>
        <w:t xml:space="preserve"> </w:t>
      </w:r>
      <w:r>
        <w:t xml:space="preserve">contribution is to make the warning legible.</w:t>
      </w:r>
    </w:p>
    <w:bookmarkEnd w:id="65"/>
    <w:bookmarkStart w:id="66" w:name="what-the-topic-proportions-lose"/>
    <w:p>
      <w:pPr>
        <w:pStyle w:val="Heading2"/>
      </w:pPr>
      <w:r>
        <w:t xml:space="preserve">What the topic proportions lose</w:t>
      </w:r>
    </w:p>
    <w:p>
      <w:pPr>
        <w:pStyle w:val="FirstParagraph"/>
      </w:pPr>
      <w:r>
        <w:t xml:space="preserve">A logistic regression on the topic proportions trails the raw-spectrum</w:t>
      </w:r>
      <w:r>
        <w:t xml:space="preserve"> </w:t>
      </w:r>
      <w:r>
        <w:t xml:space="preserve">baseline on both benchmark families: by 0.325 macro-F1 on the labelled</w:t>
      </w:r>
      <w:r>
        <w:t xml:space="preserve"> </w:t>
      </w:r>
      <w:r>
        <w:t xml:space="preserve">scenes (every one of the 30 scene–fold cells) and by 0.268 on the</w:t>
      </w:r>
      <w:r>
        <w:t xml:space="preserve"> </w:t>
      </w:r>
      <w:r>
        <w:t xml:space="preserve">HIDSAG targets (18 of 19). The deficit is therefore not specific to</w:t>
      </w:r>
      <w:r>
        <w:t xml:space="preserve"> </w:t>
      </w:r>
      <w:r>
        <w:t xml:space="preserve">mineralogical data.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at most twelve proportions summarises</w:t>
      </w:r>
      <w:r>
        <w:t xml:space="preserve"> </w:t>
      </w:r>
      <w:r>
        <w:t xml:space="preserve">a spectrum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bands, and the narrow, locally discriminative</w:t>
      </w:r>
      <w:r>
        <w:t xml:space="preserve"> </w:t>
      </w:r>
      <w:r>
        <w:t xml:space="preserve">absorption features that separate classes (mineral classes on HIDSAG)</w:t>
      </w:r>
      <w:r>
        <w:t xml:space="preserve"> </w:t>
      </w:r>
      <w:r>
        <w:t xml:space="preserve">plausibly do not survive that compression; the raw multinomial</w:t>
      </w:r>
      <w:r>
        <w:t xml:space="preserve"> </w:t>
      </w:r>
      <w:r>
        <w:t xml:space="preserve">logistic keeps them. On the labelled</w:t>
      </w:r>
      <w:r>
        <w:t xml:space="preserve"> </w:t>
      </w:r>
      <w:r>
        <w:t xml:space="preserve">scenes the topic-routed classifiers, which use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only to route</w:t>
      </w:r>
      <w:r>
        <w:t xml:space="preserve"> </w:t>
      </w:r>
      <w:r>
        <w:t xml:space="preserve">the raw spectrum to per-topic experts, match the baseline (a</w:t>
      </w:r>
      <w:r>
        <w:t xml:space="preserve"> </w:t>
      </w:r>
      <w:r>
        <w:t xml:space="preserve">difference of</w:t>
      </w:r>
      <w:r>
        <w:t xml:space="preserve"> </w:t>
      </w:r>
      <m:oMath>
        <m:r>
          <m:rPr>
            <m:sty m:val="p"/>
          </m:rPr>
          <m:t>+</m:t>
        </m:r>
        <m:r>
          <m:t>0.005</m:t>
        </m:r>
      </m:oMath>
      <w:r>
        <w:t xml:space="preserve"> </w:t>
      </w:r>
      <w:r>
        <w:t xml:space="preserve">for soft gating and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for hard gating).</w:t>
      </w:r>
      <w:r>
        <w:t xml:space="preserve"> </w:t>
      </w:r>
      <w:r>
        <w:t xml:space="preserve">The implication is that the topic representation is an interpretable</w:t>
      </w:r>
      <w:r>
        <w:t xml:space="preserve"> </w:t>
      </w:r>
      <w:r>
        <w:t xml:space="preserve">routing and summary layer rather than a replacement for the spectrum</w:t>
      </w:r>
      <w:r>
        <w:t xml:space="preserve"> </w:t>
      </w:r>
      <w:r>
        <w:t xml:space="preserve">as classifier input. Whether routing closes the gap on HIDSAG as it</w:t>
      </w:r>
      <w:r>
        <w:t xml:space="preserve"> </w:t>
      </w:r>
      <w:r>
        <w:t xml:space="preserve">does on the labelled scenes was not tested and is a direct follow-up.</w:t>
      </w:r>
    </w:p>
    <w:bookmarkEnd w:id="66"/>
    <w:bookmarkStart w:id="67" w:name="lda-versus-prodlda-versus-etm"/>
    <w:p>
      <w:pPr>
        <w:pStyle w:val="Heading2"/>
      </w:pPr>
      <w:r>
        <w:t xml:space="preserve">LDA versus ProdLDA versus ETM</w:t>
      </w:r>
    </w:p>
    <w:p>
      <w:pPr>
        <w:pStyle w:val="FirstParagraph"/>
      </w:pPr>
      <w:r>
        <w:t xml:space="preserve">The ARI-vs-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trade-off in Section </w:t>
      </w:r>
      <w:hyperlink w:anchor="subsec:res-b3">
        <w:r>
          <w:rPr>
            <w:rStyle w:val="Hyperlink"/>
          </w:rPr>
          <w:t xml:space="preserve">6.2</w:t>
        </w:r>
      </w:hyperlink>
      <w:r>
        <w:t xml:space="preserve"> </w:t>
      </w:r>
      <w:r>
        <w:t xml:space="preserve">bears on the</w:t>
      </w:r>
      <w:r>
        <w:t xml:space="preserve"> </w:t>
      </w:r>
      <w:r>
        <w:t xml:space="preserve">criterion on which ProdLDA was introduced as an improvement over LDA,</w:t>
      </w:r>
      <w:r>
        <w:t xml:space="preserve"> </w:t>
      </w:r>
      <w:r>
        <w:t xml:space="preserve">higher topic coherence on text corpora </w:t>
      </w:r>
      <w:r>
        <w:t xml:space="preserve">(Srivastava and Sutton 2017)</w:t>
      </w:r>
      <w:r>
        <w:t xml:space="preserve">,</w:t>
      </w:r>
      <w:r>
        <w:t xml:space="preserve"> </w:t>
      </w:r>
      <w:r>
        <w:t xml:space="preserve">a claim made for its product-of-experts decoder. On Indian Pines the</w:t>
      </w:r>
      <w:r>
        <w:t xml:space="preserve"> </w:t>
      </w:r>
      <w:r>
        <w:t xml:space="preserve">amortised mixture-decoder model labelled ProdLDA here also has the</w:t>
      </w:r>
      <w:r>
        <w:t xml:space="preserve"> </w:t>
      </w:r>
      <w:r>
        <w:t xml:space="preserve">highest coherence (ProdLDA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0.630</m:t>
        </m:r>
      </m:oMath>
      <w:r>
        <w:t xml:space="preserve"> </w:t>
      </w:r>
      <w:r>
        <w:t xml:space="preserve">vs LDA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0.450</m:t>
        </m:r>
      </m:oMath>
      <w:r>
        <w:t xml:space="preserve"> </w:t>
      </w:r>
      <w:r>
        <w:t xml:space="preserve">vs ETM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0.357</m:t>
        </m:r>
      </m:oMath>
      <w:r>
        <w:t xml:space="preserve">), but the cluster-ARI ordering inverts (LDA</w:t>
      </w:r>
      <w:r>
        <w:t xml:space="preserve"> </w:t>
      </w:r>
      <m:oMath>
        <m:r>
          <m:t>0.287</m:t>
        </m:r>
      </m:oMath>
      <w:r>
        <w:t xml:space="preserve"> </w:t>
      </w:r>
      <w:r>
        <w:t xml:space="preserve">vs</w:t>
      </w:r>
      <w:r>
        <w:t xml:space="preserve"> </w:t>
      </w:r>
      <w:r>
        <w:t xml:space="preserve">ETM</w:t>
      </w:r>
      <w:r>
        <w:t xml:space="preserve"> </w:t>
      </w:r>
      <m:oMath>
        <m:r>
          <m:t>0.257</m:t>
        </m:r>
      </m:oMath>
      <w:r>
        <w:t xml:space="preserve"> </w:t>
      </w:r>
      <w:r>
        <w:t xml:space="preserve">vs ProdLDA</w:t>
      </w:r>
      <w:r>
        <w:t xml:space="preserve"> </w:t>
      </w:r>
      <m:oMath>
        <m:r>
          <m:t>0.165</m:t>
        </m:r>
      </m:oMath>
      <w:r>
        <w:t xml:space="preserve">). The coherence-vs-clustering</w:t>
      </w:r>
      <w:r>
        <w:t xml:space="preserve"> </w:t>
      </w:r>
      <w:r>
        <w:t xml:space="preserve">disagreement is, on HSI, large enough to flip the practitioner-level</w:t>
      </w:r>
      <w:r>
        <w:t xml:space="preserve"> </w:t>
      </w:r>
      <w:r>
        <w:t xml:space="preserve">recommendation: a practitioner who picks ProdLDA because its</w:t>
      </w:r>
      <w:r>
        <w:t xml:space="preserve"> </w:t>
      </w:r>
      <w:r>
        <w:t xml:space="preserve">coherence is highest will obtain a topic basis that clusters worst</w:t>
      </w:r>
      <w:r>
        <w:t xml:space="preserve"> </w:t>
      </w:r>
      <w:r>
        <w:t xml:space="preserve">against ground truth. We therefore recommend, for HSI specifically,</w:t>
      </w:r>
      <w:r>
        <w:t xml:space="preserve"> </w:t>
      </w:r>
      <w:r>
        <w:t xml:space="preserve">reporting both metrics side-by-side rather than choosing one as</w:t>
      </w:r>
      <w:r>
        <w:t xml:space="preserve"> </w:t>
      </w:r>
      <w:r>
        <w:t xml:space="preserve">representative.</w:t>
      </w:r>
    </w:p>
    <w:bookmarkEnd w:id="67"/>
    <w:bookmarkStart w:id="68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framework has three operative limitations.</w:t>
      </w:r>
      <w:r>
        <w:t xml:space="preserve"> </w:t>
      </w:r>
      <w:r>
        <w:rPr>
          <w:i/>
          <w:iCs/>
        </w:rPr>
        <w:t xml:space="preserve">First</w:t>
      </w:r>
      <w:r>
        <w:t xml:space="preserve">, the</w:t>
      </w:r>
      <w:r>
        <w:t xml:space="preserve"> </w:t>
      </w:r>
      <w:r>
        <w:t xml:space="preserve">canonical fit uses a single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per scene, chosen by the formula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A more sensitive analysis</w:t>
      </w:r>
      <w:r>
        <w:t xml:space="preserve"> </w:t>
      </w:r>
      <w:r>
        <w:t xml:space="preserve">would sweep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report per-axis behaviour against</w:t>
      </w:r>
      <w:r>
        <w:t xml:space="preserve"> </w:t>
      </w:r>
      <m:oMath>
        <m:r>
          <m:t>K</m:t>
        </m:r>
      </m:oMath>
      <w:r>
        <w:t xml:space="preserve">; we report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-sweep on F-4 but other axes are computed at the canonical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Second</w:t>
      </w:r>
      <w:r>
        <w:t xml:space="preserve">, the tokenisation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levels is uniform across</w:t>
      </w:r>
      <w:r>
        <w:t xml:space="preserve"> </w:t>
      </w:r>
      <w:r>
        <w:t xml:space="preserve">scenes, not adapted to per-scene spectral dynamic range.</w:t>
      </w:r>
      <w:r>
        <w:t xml:space="preserve"> </w:t>
      </w:r>
      <w:r>
        <w:rPr>
          <w:i/>
          <w:iCs/>
        </w:rPr>
        <w:t xml:space="preserve">Third</w:t>
      </w:r>
      <w:r>
        <w:t xml:space="preserve">,</w:t>
      </w:r>
      <w:r>
        <w:t xml:space="preserve"> </w:t>
      </w:r>
      <w:r>
        <w:t xml:space="preserve">F-12 matches topics to library categories by cosine similarity alone:</w:t>
      </w:r>
      <w:r>
        <w:t xml:space="preserve"> </w:t>
      </w:r>
      <w:r>
        <w:t xml:space="preserve">a high cosine indicates spectral plausibility, not a mineralogical</w:t>
      </w:r>
      <w:r>
        <w:t xml:space="preserve"> </w:t>
      </w:r>
      <w:r>
        <w:t xml:space="preserve">identification, and the paper does not compare against published</w:t>
      </w:r>
      <w:r>
        <w:t xml:space="preserve"> </w:t>
      </w:r>
      <w:r>
        <w:t xml:space="preserve">accuracies, whose train/test splits would not match the splits used</w:t>
      </w:r>
      <w:r>
        <w:t xml:space="preserve"> </w:t>
      </w:r>
      <w:r>
        <w:t xml:space="preserve">here.</w:t>
      </w:r>
    </w:p>
    <w:bookmarkEnd w:id="68"/>
    <w:bookmarkEnd w:id="69"/>
    <w:bookmarkStart w:id="71" w:name="sec:repro"/>
    <w:p>
      <w:pPr>
        <w:pStyle w:val="Heading1"/>
      </w:pPr>
      <w:r>
        <w:t xml:space="preserve">Reproducibility artefacts</w:t>
      </w:r>
    </w:p>
    <w:p>
      <w:pPr>
        <w:pStyle w:val="FirstParagraph"/>
      </w:pPr>
      <w:r>
        <w:t xml:space="preserve">The full reproducibility package consists of: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Builder source.</w:t>
      </w:r>
      <w:r>
        <w:t xml:space="preserve"> </w:t>
      </w:r>
      <w:r>
        <w:t xml:space="preserve">Forty-plus deterministic Python</w:t>
      </w:r>
      <w:r>
        <w:t xml:space="preserve"> </w:t>
      </w:r>
      <w:r>
        <w:t xml:space="preserve">builders under , each accepting a</w:t>
      </w:r>
      <w:r>
        <w:t xml:space="preserve"> </w:t>
      </w:r>
      <w:r>
        <w:t xml:space="preserve">fixed seed and writing a deterministic JSON or NPZ artefact under</w:t>
      </w:r>
      <w:r>
        <w:t xml:space="preserve"> </w:t>
      </w:r>
      <w:r>
        <w:t xml:space="preserve">. Each builder records its</w:t>
      </w:r>
      <w:r>
        <w:t xml:space="preserve"> </w:t>
      </w:r>
      <w:r>
        <w:t xml:space="preserve">and ISO timestamp in</w:t>
      </w:r>
      <w:r>
        <w:t xml:space="preserve"> </w:t>
      </w:r>
      <w:r>
        <w:t xml:space="preserve">the artefact metadata.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Derived artefacts.</w:t>
      </w:r>
      <w:r>
        <w:t xml:space="preserve"> </w:t>
      </w:r>
      <w:r>
        <w:t xml:space="preserve">3895 JSON and binary files,</w:t>
      </w:r>
      <w:r>
        <w:t xml:space="preserve"> </w:t>
      </w:r>
      <w:r>
        <w:t xml:space="preserve">449 MB total, including: per-scene canonical fits</w:t>
      </w:r>
      <w:r>
        <w:t xml:space="preserve"> </w:t>
      </w:r>
      <w:r>
        <w:t xml:space="preserve">(, ), the</w:t>
      </w:r>
      <w:r>
        <w:t xml:space="preserve"> </w:t>
      </w:r>
      <w:r>
        <w:t xml:space="preserve">band-mask canonical comparison</w:t>
      </w:r>
      <w:r>
        <w:t xml:space="preserve"> </w:t>
      </w:r>
      <w:r>
        <w:t xml:space="preserve">(, the source of all</w:t>
      </w:r>
      <w:r>
        <w:t xml:space="preserve"> </w:t>
      </w:r>
      <w:r>
        <w:t xml:space="preserve">F-5 numbers above), the cross-method agreement matrices</w:t>
      </w:r>
      <w:r>
        <w:t xml:space="preserve"> </w:t>
      </w:r>
      <w:r>
        <w:t xml:space="preserve">(), the seed-stability sweeps</w:t>
      </w:r>
      <w:r>
        <w:t xml:space="preserve"> </w:t>
      </w:r>
      <w:r>
        <w:t xml:space="preserve">(), the hierarchical Bayesian</w:t>
      </w:r>
      <w:r>
        <w:t xml:space="preserve"> </w:t>
      </w:r>
      <w:r>
        <w:t xml:space="preserve">posteriors</w:t>
      </w:r>
      <w:r>
        <w:t xml:space="preserve"> </w:t>
      </w:r>
      <w:r>
        <w:t xml:space="preserve">(</w:t>
      </w:r>
      <w:r>
        <w:t xml:space="preserve"> </w:t>
      </w:r>
      <w:r>
        <w:t xml:space="preserve">and ),</w:t>
      </w:r>
      <w:r>
        <w:t xml:space="preserve"> </w:t>
      </w:r>
      <w:r>
        <w:t xml:space="preserve">and the HIDSAG cross-preprocessing stability sweeps.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Web application.</w:t>
      </w:r>
      <w:r>
        <w:t xml:space="preserve"> </w:t>
      </w:r>
      <w:r>
        <w:t xml:space="preserve">A FastAPI backend serving the</w:t>
      </w:r>
      <w:r>
        <w:t xml:space="preserve"> </w:t>
      </w:r>
      <w:r>
        <w:t xml:space="preserve">artefacts over 59 REST endpoints, plus a React+Vite frontend at</w:t>
      </w:r>
      <w:r>
        <w:t xml:space="preserve"> </w:t>
      </w:r>
      <w:hyperlink r:id="rId70">
        <w:r>
          <w:rPr>
            <w:rStyle w:val="Hyperlink"/>
          </w:rPr>
          <w:t xml:space="preserve">https://lda-hsi.fasl-work.com</w:t>
        </w:r>
      </w:hyperlink>
      <w:r>
        <w:t xml:space="preserve"> </w:t>
      </w:r>
      <w:r>
        <w:t xml:space="preserve">that consumes them as interactive</w:t>
      </w:r>
      <w:r>
        <w:t xml:space="preserve"> </w:t>
      </w:r>
      <w:r>
        <w:t xml:space="preserve">visualisations.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Endpoint test harness.</w:t>
      </w:r>
      <w:r>
        <w:t xml:space="preserve"> </w:t>
      </w:r>
      <w:r>
        <w:t xml:space="preserve">A test script covering 109</w:t>
      </w:r>
      <w:r>
        <w:t xml:space="preserve"> </w:t>
      </w:r>
      <w:r>
        <w:t xml:space="preserve">endpoints that verifies endpoint health, response schemas, and the</w:t>
      </w:r>
      <w:r>
        <w:t xml:space="preserve"> </w:t>
      </w:r>
      <w:r>
        <w:t xml:space="preserve">content of the single-page-application shell at each deployment.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Companion paper.</w:t>
      </w:r>
      <w:r>
        <w:t xml:space="preserve"> </w:t>
      </w:r>
      <w:r>
        <w:t xml:space="preserve">The F-5 band-mask diagnostic is reported</w:t>
      </w:r>
      <w:r>
        <w:t xml:space="preserve"> </w:t>
      </w:r>
      <w:r>
        <w:t xml:space="preserve">in detail in </w:t>
      </w:r>
      <w:r>
        <w:t xml:space="preserve">(Santibáñez-Leal 2026)</w:t>
      </w:r>
      <w:r>
        <w:t xml:space="preserve">.</w:t>
      </w:r>
    </w:p>
    <w:p>
      <w:pPr>
        <w:pStyle w:val="FirstParagraph"/>
      </w:pPr>
      <w:r>
        <w:t xml:space="preserve">All code is MIT-licensed at</w:t>
      </w:r>
      <w:r>
        <w:t xml:space="preserve"> </w:t>
      </w:r>
      <w:hyperlink r:id="rId11">
        <w:r>
          <w:rPr>
            <w:rStyle w:val="Hyperlink"/>
          </w:rPr>
          <w:t xml:space="preserve">https://github.com/fsantibanezleal/CAOS_LDA_HSI</w:t>
        </w:r>
      </w:hyperlink>
      <w:r>
        <w:t xml:space="preserve">.</w:t>
      </w:r>
    </w:p>
    <w:bookmarkEnd w:id="71"/>
    <w:bookmarkStart w:id="72" w:name="sec:conclude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accuracy-only view of topic models on hyperspectral imagery</w:t>
      </w:r>
      <w:r>
        <w:t xml:space="preserve"> </w:t>
      </w:r>
      <w:r>
        <w:t xml:space="preserve">hides the questions an interpretability-motivated practitioner most</w:t>
      </w:r>
      <w:r>
        <w:t xml:space="preserve"> </w:t>
      </w:r>
      <w:r>
        <w:t xml:space="preserve">needs answered: is the topic basis reproducible across seeds,</w:t>
      </w:r>
      <w:r>
        <w:t xml:space="preserve"> </w:t>
      </w:r>
      <w:r>
        <w:t xml:space="preserve">robust to spectral-window choice, calibrated against label entropy,</w:t>
      </w:r>
      <w:r>
        <w:t xml:space="preserve"> </w:t>
      </w:r>
      <w:r>
        <w:t xml:space="preserve">actually outperforming linear baselines, and consistent across</w:t>
      </w:r>
      <w:r>
        <w:t xml:space="preserve"> </w:t>
      </w:r>
      <w:r>
        <w:t xml:space="preserve">preprocessing recipes? We propose a twelve-axis evaluation framework</w:t>
      </w:r>
      <w:r>
        <w:t xml:space="preserve"> </w:t>
      </w:r>
      <w:r>
        <w:t xml:space="preserve">that returns one operational metric per axis and stores each metric as</w:t>
      </w:r>
      <w:r>
        <w:t xml:space="preserve"> </w:t>
      </w:r>
      <w:r>
        <w:t xml:space="preserve">a deterministic JSON artefact. Applied to six labelled HSI benchmarks</w:t>
      </w:r>
      <w:r>
        <w:t xml:space="preserve"> </w:t>
      </w:r>
      <w:r>
        <w:t xml:space="preserve">and five HIDSAG mineralogical subsets, the framework surfaces three</w:t>
      </w:r>
      <w:r>
        <w:t xml:space="preserve"> </w:t>
      </w:r>
      <w:r>
        <w:t xml:space="preserve">findings the accuracy-only view does not: the topic-routed soft</w:t>
      </w:r>
      <w:r>
        <w:t xml:space="preserve"> </w:t>
      </w:r>
      <w:r>
        <w:t xml:space="preserve">classifier matches the raw-spectrum logistic baseline on the labelled</w:t>
      </w:r>
      <w:r>
        <w:t xml:space="preserve"> </w:t>
      </w:r>
      <w:r>
        <w:t xml:space="preserve">scenes (0.915 against 0.910 macro-F1); the</w:t>
      </w:r>
      <w:r>
        <w:t xml:space="preserve"> </w:t>
      </w:r>
      <w:r>
        <w:t xml:space="preserve">band-mask diagnostic separates scenes whose canonical topics are</w:t>
      </w:r>
      <w:r>
        <w:t xml:space="preserve"> </w:t>
      </w:r>
      <w:r>
        <w:t xml:space="preserve">band-robust (Salinas-A SWIR paired ARI</w:t>
      </w:r>
      <w:r>
        <w:t xml:space="preserve"> </w:t>
      </w:r>
      <m:oMath>
        <m:r>
          <m:t>0.766</m:t>
        </m:r>
      </m:oMath>
      <w:r>
        <w:t xml:space="preserve">) from scenes whose</w:t>
      </w:r>
      <w:r>
        <w:t xml:space="preserve"> </w:t>
      </w:r>
      <w:r>
        <w:t xml:space="preserve">topics are band-fragile (KSC under every mask and Botswana under SWIR,</w:t>
      </w:r>
      <w:r>
        <w:t xml:space="preserve"> </w:t>
      </w:r>
      <w:r>
        <w:t xml:space="preserve">paired ARI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);</w:t>
      </w:r>
      <w:r>
        <w:t xml:space="preserve"> </w:t>
      </w:r>
      <w:r>
        <w:t xml:space="preserve">and a classifier on the topic proportions alone trails the raw-spectrum</w:t>
      </w:r>
      <w:r>
        <w:t xml:space="preserve"> </w:t>
      </w:r>
      <w:r>
        <w:t xml:space="preserve">baseline on both the labelled scenes (by 0.325 macro-F1) and the HIDSAG</w:t>
      </w:r>
      <w:r>
        <w:t xml:space="preserve"> </w:t>
      </w:r>
      <w:r>
        <w:t xml:space="preserve">targets (by 0.268). The full 3895-artefact</w:t>
      </w:r>
      <w:r>
        <w:t xml:space="preserve"> </w:t>
      </w:r>
      <w:r>
        <w:t xml:space="preserve">reproducibility package is released under MIT licence.</w:t>
      </w:r>
    </w:p>
    <w:p>
      <w:pPr>
        <w:pStyle w:val="BodyText"/>
      </w:pPr>
      <w:r>
        <w:t xml:space="preserve">Future work includes (i) a per-axis</w:t>
      </w:r>
      <w:r>
        <w:t xml:space="preserve"> </w:t>
      </w:r>
      <m:oMath>
        <m:r>
          <m:t>K</m:t>
        </m:r>
      </m:oMath>
      <w:r>
        <w:t xml:space="preserve">-sweep extending the</w:t>
      </w:r>
      <w:r>
        <w:t xml:space="preserve"> </w:t>
      </w:r>
      <w:r>
        <w:t xml:space="preserve">single-</w:t>
      </w:r>
      <m:oMath>
        <m:r>
          <m:t>K</m:t>
        </m:r>
      </m:oMath>
      <w:r>
        <w:t xml:space="preserve"> </w:t>
      </w:r>
      <w:r>
        <w:t xml:space="preserve">canonical fit, (ii) per-scene tokenisation budgets adapted</w:t>
      </w:r>
      <w:r>
        <w:t xml:space="preserve"> </w:t>
      </w:r>
      <w:r>
        <w:t xml:space="preserve">to spectral dynamic range, (iii) extending the framework to neural</w:t>
      </w:r>
      <w:r>
        <w:t xml:space="preserve"> </w:t>
      </w:r>
      <w:r>
        <w:t xml:space="preserve">unmixing variants (autoencoder unmixing, transformer-based topic</w:t>
      </w:r>
      <w:r>
        <w:t xml:space="preserve"> </w:t>
      </w:r>
      <w:r>
        <w:t xml:space="preserve">models), and (iv) developing an information-theoretic</w:t>
      </w:r>
      <w:r>
        <w:t xml:space="preserve"> </w:t>
      </w:r>
      <w:r>
        <w:t xml:space="preserve">within-mask Fisher complement to F-5 that does not depend on the</w:t>
      </w:r>
      <w:r>
        <w:t xml:space="preserve"> </w:t>
      </w:r>
      <w:r>
        <w:t xml:space="preserve">unmasked-spectrum ranking.</w:t>
      </w:r>
    </w:p>
    <w:bookmarkEnd w:id="72"/>
    <w:bookmarkStart w:id="73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work has been partially funded by The Advanced Mining Technology</w:t>
      </w:r>
      <w:r>
        <w:t xml:space="preserve"> </w:t>
      </w:r>
      <w:r>
        <w:t xml:space="preserve">Center (AMTC) Basal project (ANID/PIA Project AFB220002) and ANID</w:t>
      </w:r>
      <w:r>
        <w:t xml:space="preserve"> </w:t>
      </w:r>
      <w:r>
        <w:t xml:space="preserve">FONDECYT Postdoctorado 3220094.</w:t>
      </w:r>
    </w:p>
    <w:p>
      <w:pPr>
        <w:pStyle w:val="BodyText"/>
      </w:pPr>
      <w:r>
        <w:t xml:space="preserve">The Hyperspectral Remote Sensing Scenes collection is maintained by</w:t>
      </w:r>
      <w:r>
        <w:t xml:space="preserve"> </w:t>
      </w:r>
      <w:r>
        <w:t xml:space="preserve">the Computational Intelligence Group at UPV/EHU. The HIDSAG</w:t>
      </w:r>
      <w:r>
        <w:t xml:space="preserve"> </w:t>
      </w:r>
      <w:r>
        <w:t xml:space="preserve">mineralogical database was the result of a collaboration on</w:t>
      </w:r>
      <w:r>
        <w:t xml:space="preserve"> </w:t>
      </w:r>
      <w:r>
        <w:t xml:space="preserve">hyperspectral mineralogy with industrial partners in Chilean mining</w:t>
      </w:r>
      <w:r>
        <w:t xml:space="preserve"> </w:t>
      </w:r>
      <w:r>
        <w:t xml:space="preserve">geosciences. The author thanks the open-source maintainers of</w:t>
      </w:r>
      <w:r>
        <w:t xml:space="preserve"> </w:t>
      </w:r>
      <w:r>
        <w:t xml:space="preserve">scikit-learn</w:t>
      </w:r>
      <w:r>
        <w:t xml:space="preserve"> </w:t>
      </w:r>
      <w:r>
        <w:t xml:space="preserve">(Pedregosa et al. 2011)</w:t>
      </w:r>
      <w:r>
        <w:t xml:space="preserve">, NumPy</w:t>
      </w:r>
      <w:r>
        <w:t xml:space="preserve"> </w:t>
      </w:r>
      <w:r>
        <w:t xml:space="preserve">(</w:t>
      </w:r>
      <w:r>
        <w:t xml:space="preserve">Harris et al.</w:t>
      </w:r>
      <w:r>
        <w:t xml:space="preserve"> </w:t>
      </w:r>
      <w:r>
        <w:t xml:space="preserve">2020)</w:t>
      </w:r>
      <w:r>
        <w:t xml:space="preserve">,</w:t>
      </w:r>
      <w:r>
        <w:t xml:space="preserve"> </w:t>
      </w:r>
      <w:r>
        <w:t xml:space="preserve">SciPy</w:t>
      </w:r>
      <w:r>
        <w:t xml:space="preserve"> </w:t>
      </w:r>
      <w:r>
        <w:t xml:space="preserve">(</w:t>
      </w:r>
      <w:r>
        <w:t xml:space="preserve">Virtanen et al.</w:t>
      </w:r>
      <w:r>
        <w:t xml:space="preserve"> </w:t>
      </w:r>
      <w:r>
        <w:t xml:space="preserve">2020)</w:t>
      </w:r>
      <w:r>
        <w:t xml:space="preserve">, and Gensim</w:t>
      </w:r>
      <w:r>
        <w:t xml:space="preserve"> </w:t>
      </w:r>
      <w:r>
        <w:t xml:space="preserve">(Řehůřek and Sojka 2010)</w:t>
      </w:r>
      <w:r>
        <w:t xml:space="preserve">,</w:t>
      </w:r>
      <w:r>
        <w:t xml:space="preserve"> </w:t>
      </w:r>
      <w:r>
        <w:t xml:space="preserve">whose work this study rests on.</w:t>
      </w:r>
    </w:p>
    <w:bookmarkEnd w:id="73"/>
    <w:bookmarkStart w:id="74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 is a co-author of the HIDSAG dataset descriptor</w:t>
      </w:r>
      <w:r>
        <w:t xml:space="preserve"> </w:t>
      </w:r>
      <w:r>
        <w:t xml:space="preserve">publication </w:t>
      </w:r>
      <w:r>
        <w:t xml:space="preserve">(Ehrenfeld et al. 2023)</w:t>
      </w:r>
      <w:r>
        <w:t xml:space="preserve"> </w:t>
      </w:r>
      <w:r>
        <w:t xml:space="preserve">and the accompanying data</w:t>
      </w:r>
      <w:r>
        <w:t xml:space="preserve"> </w:t>
      </w:r>
      <w:r>
        <w:t xml:space="preserve">release </w:t>
      </w:r>
      <w:r>
        <w:t xml:space="preserve">(Ehrenfeld 2023)</w:t>
      </w:r>
      <w:r>
        <w:t xml:space="preserve">, and first author of the</w:t>
      </w:r>
      <w:r>
        <w:t xml:space="preserve"> </w:t>
      </w:r>
      <w:r>
        <w:t xml:space="preserve">earlier conference paper introducing the LDA-V1/V2/V3 corpus</w:t>
      </w:r>
      <w:r>
        <w:t xml:space="preserve"> </w:t>
      </w:r>
      <w:r>
        <w:t xml:space="preserve">recipes and topic-routed regressor on private geometallurgical</w:t>
      </w:r>
      <w:r>
        <w:t xml:space="preserve"> </w:t>
      </w:r>
      <w:r>
        <w:t xml:space="preserve">data </w:t>
      </w:r>
      <w:r>
        <w:t xml:space="preserve">(Santibañez-Leal et al. 2022)</w:t>
      </w:r>
      <w:r>
        <w:t xml:space="preserve">. The present paper</w:t>
      </w:r>
      <w:r>
        <w:t xml:space="preserve"> </w:t>
      </w:r>
      <w:r>
        <w:t xml:space="preserve">is methodologically distinct: it proposes a twelve-axis evaluation</w:t>
      </w:r>
      <w:r>
        <w:t xml:space="preserve"> </w:t>
      </w:r>
      <w:r>
        <w:t xml:space="preserve">framework for topic models on hyperspectral imagery and applies</w:t>
      </w:r>
      <w:r>
        <w:t xml:space="preserve"> </w:t>
      </w:r>
      <w:r>
        <w:t xml:space="preserve">the framework, among other benchmarks, to the HIDSAG mineralogical</w:t>
      </w:r>
      <w:r>
        <w:t xml:space="preserve"> </w:t>
      </w:r>
      <w:r>
        <w:t xml:space="preserve">subsets. HIDSAG is cited as a data source, not as a methodological</w:t>
      </w:r>
      <w:r>
        <w:t xml:space="preserve"> </w:t>
      </w:r>
      <w:r>
        <w:t xml:space="preserve">contribution of this work. The author declares no other conflict</w:t>
      </w:r>
      <w:r>
        <w:t xml:space="preserve"> </w:t>
      </w:r>
      <w:r>
        <w:t xml:space="preserve">of interest.</w:t>
      </w:r>
    </w:p>
    <w:bookmarkEnd w:id="74"/>
    <w:bookmarkStart w:id="169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t xml:space="preserve">All numerical results in this paper derive from deterministic</w:t>
      </w:r>
      <w:r>
        <w:t xml:space="preserve"> </w:t>
      </w:r>
      <w:r>
        <w:t xml:space="preserve">artefacts under</w:t>
      </w:r>
      <w:r>
        <w:t xml:space="preserve"> </w:t>
      </w:r>
      <w:r>
        <w:rPr>
          <w:rStyle w:val="VerbatimChar"/>
        </w:rPr>
        <w:t xml:space="preserve">data/derived/</w:t>
      </w:r>
      <w:r>
        <w:t xml:space="preserve"> </w:t>
      </w:r>
      <w:r>
        <w:t xml:space="preserve">in the companion code</w:t>
      </w:r>
      <w:r>
        <w:t xml:space="preserve"> </w:t>
      </w:r>
      <w:r>
        <w:t xml:space="preserve">repository at</w:t>
      </w:r>
      <w:r>
        <w:t xml:space="preserve"> </w:t>
      </w:r>
      <w:hyperlink r:id="rId11">
        <w:r>
          <w:rPr>
            <w:rStyle w:val="Hyperlink"/>
          </w:rPr>
          <w:t xml:space="preserve">https://github.com/fsantibanezleal/CAOS_LDA_HSI</w:t>
        </w:r>
      </w:hyperlink>
      <w:r>
        <w:t xml:space="preserve">.</w:t>
      </w:r>
      <w:r>
        <w:t xml:space="preserve"> </w:t>
      </w:r>
      <w:r>
        <w:t xml:space="preserve">The paired F-1 comparisons of Tables </w:t>
      </w:r>
      <w:hyperlink w:anchor="tab:b1-labelled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 </w:t>
      </w:r>
      <w:hyperlink w:anchor="tab:b1-hidsag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are computed from</w:t>
      </w:r>
      <w:r>
        <w:t xml:space="preserve"> </w:t>
      </w:r>
      <w:r>
        <w:t xml:space="preserve">and</w:t>
      </w:r>
      <w:r>
        <w:t xml:space="preserve"> </w:t>
      </w:r>
      <w:r>
        <w:t xml:space="preserve">by of the</w:t>
      </w:r>
      <w:r>
        <w:t xml:space="preserve"> </w:t>
      </w:r>
      <w:r>
        <w:t xml:space="preserve">manuscript repository</w:t>
      </w:r>
      <w:r>
        <w:t xml:space="preserve"> </w:t>
      </w:r>
      <w:hyperlink r:id="rId75">
        <w:r>
          <w:rPr>
            <w:rStyle w:val="Hyperlink"/>
          </w:rPr>
          <w:t xml:space="preserve">https://github.com/fsantibanezleal/CAOS_LDA_HSI_Paper</w:t>
        </w:r>
      </w:hyperlink>
      <w:r>
        <w:t xml:space="preserve">.</w:t>
      </w:r>
      <w:r>
        <w:t xml:space="preserve"> </w:t>
      </w:r>
      <w:r>
        <w:t xml:space="preserve">The HIDSAG database is available from</w:t>
      </w:r>
      <w:r>
        <w:t xml:space="preserve"> </w:t>
      </w:r>
      <w:r>
        <w:t xml:space="preserve">(Ehrenfeld 2023)</w:t>
      </w:r>
      <w:r>
        <w:t xml:space="preserve">; the labelled hyperspectral benchmark</w:t>
      </w:r>
      <w:r>
        <w:t xml:space="preserve"> </w:t>
      </w:r>
      <w:r>
        <w:t xml:space="preserve">scenes (Indian Pines, Salinas, Salinas-A, Pavia U, KSC, Botswana)</w:t>
      </w:r>
      <w:r>
        <w:t xml:space="preserve"> </w:t>
      </w:r>
      <w:r>
        <w:t xml:space="preserve">are available from the UPV/EHU Hyperspectral Remote Sensing Scenes</w:t>
      </w:r>
      <w:r>
        <w:t xml:space="preserve"> </w:t>
      </w:r>
      <w:r>
        <w:t xml:space="preserve">collection</w:t>
      </w:r>
      <w:r>
        <w:t xml:space="preserve"> </w:t>
      </w:r>
      <w:r>
        <w:t xml:space="preserve">(Baumgardner et al. 2015; NASA/JPL Airborne Visible/Infrared Imaging Spectrometer Project 1998, 1996; German Aerospace Center (DLR) ROSIS sensor 2003; NASA EO-1 Hyperion Mission 2001)</w:t>
      </w:r>
      <w:r>
        <w:t xml:space="preserve">.</w:t>
      </w:r>
      <w:r>
        <w:t xml:space="preserve"> </w:t>
      </w:r>
      <w:r>
        <w:t xml:space="preserve">The 3895-artefact derived bundle, the</w:t>
      </w:r>
      <w:r>
        <w:t xml:space="preserve"> </w:t>
      </w:r>
      <w:r>
        <w:rPr>
          <w:rStyle w:val="VerbatimChar"/>
        </w:rPr>
        <w:t xml:space="preserve">build_*.py</w:t>
      </w:r>
      <w:r>
        <w:t xml:space="preserve"> </w:t>
      </w:r>
      <w:r>
        <w:t xml:space="preserve">pipeline source, the FastAPI backend, and the</w:t>
      </w:r>
      <w:r>
        <w:t xml:space="preserve"> </w:t>
      </w:r>
      <w:r>
        <w:t xml:space="preserve">React frontend are released under the MIT licence. The interactive</w:t>
      </w:r>
      <w:r>
        <w:t xml:space="preserve"> </w:t>
      </w:r>
      <w:r>
        <w:t xml:space="preserve">demonstration is hosted at</w:t>
      </w:r>
      <w:r>
        <w:t xml:space="preserve"> </w:t>
      </w:r>
      <w:hyperlink r:id="rId70">
        <w:r>
          <w:rPr>
            <w:rStyle w:val="Hyperlink"/>
          </w:rPr>
          <w:t xml:space="preserve">https://lda-hsi.fasl-work.com</w:t>
        </w:r>
      </w:hyperlink>
      <w:r>
        <w:t xml:space="preserve">.</w:t>
      </w:r>
    </w:p>
    <w:bookmarkStart w:id="168" w:name="refs"/>
    <w:bookmarkStart w:id="77" w:name="ref-achanta2012slic"/>
    <w:p>
      <w:pPr>
        <w:pStyle w:val="Bibliography"/>
      </w:pPr>
      <w:r>
        <w:t xml:space="preserve">Achanta, Radhakrishna, Appu Shaji, Kevin Smith, Aurelien Lucchi, Pascal Fua, and Sabine Süsstrunk. 2012.</w:t>
      </w:r>
      <w:r>
        <w:t xml:space="preserve"> </w:t>
      </w:r>
      <w:r>
        <w:t xml:space="preserve">“</w:t>
      </w:r>
      <w:r>
        <w:t xml:space="preserve">SLIC</w:t>
      </w:r>
      <w:r>
        <w:t xml:space="preserve"> </w:t>
      </w:r>
      <w:r>
        <w:t xml:space="preserve">Superpixels Compared to State-of-the-Art Superpixel Methods.”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 </w:t>
      </w:r>
      <w:r>
        <w:t xml:space="preserve">34 (11): 2274–82.</w:t>
      </w:r>
      <w:r>
        <w:t xml:space="preserve"> </w:t>
      </w:r>
      <w:hyperlink r:id="rId76">
        <w:r>
          <w:rPr>
            <w:rStyle w:val="Hyperlink"/>
          </w:rPr>
          <w:t xml:space="preserve">https://doi.org/10.1109/TPAMI.2012.120</w:t>
        </w:r>
      </w:hyperlink>
      <w:r>
        <w:t xml:space="preserve">.</w:t>
      </w:r>
    </w:p>
    <w:bookmarkEnd w:id="77"/>
    <w:bookmarkStart w:id="79" w:name="ref-baumgardner1992indianpines"/>
    <w:p>
      <w:pPr>
        <w:pStyle w:val="Bibliography"/>
      </w:pPr>
      <w:r>
        <w:t xml:space="preserve">Baumgardner, Marion F., Larry L. Biehl, and David A. Landgrebe. 2015.</w:t>
      </w:r>
      <w:r>
        <w:t xml:space="preserve"> </w:t>
      </w:r>
      <w:r>
        <w:rPr>
          <w:i/>
          <w:iCs/>
        </w:rPr>
        <w:t xml:space="preserve">220 Band</w:t>
      </w:r>
      <w:r>
        <w:rPr>
          <w:i/>
          <w:iCs/>
        </w:rPr>
        <w:t xml:space="preserve"> </w:t>
      </w:r>
      <w:r>
        <w:rPr>
          <w:i/>
          <w:iCs/>
        </w:rPr>
        <w:t xml:space="preserve">AVIRIS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Image Data Set:</w:t>
      </w:r>
      <w:r>
        <w:rPr>
          <w:i/>
          <w:iCs/>
        </w:rPr>
        <w:t xml:space="preserve"> </w:t>
      </w:r>
      <w:r>
        <w:rPr>
          <w:i/>
          <w:iCs/>
        </w:rPr>
        <w:t xml:space="preserve">June</w:t>
      </w:r>
      <w:r>
        <w:rPr>
          <w:i/>
          <w:iCs/>
        </w:rPr>
        <w:t xml:space="preserve"> </w:t>
      </w:r>
      <w:r>
        <w:rPr>
          <w:i/>
          <w:iCs/>
        </w:rPr>
        <w:t xml:space="preserve">12, 1992</w:t>
      </w:r>
      <w:r>
        <w:rPr>
          <w:i/>
          <w:iCs/>
        </w:rPr>
        <w:t xml:space="preserve"> </w:t>
      </w:r>
      <w:r>
        <w:rPr>
          <w:i/>
          <w:iCs/>
        </w:rPr>
        <w:t xml:space="preserve">Indian</w:t>
      </w:r>
      <w:r>
        <w:rPr>
          <w:i/>
          <w:iCs/>
        </w:rPr>
        <w:t xml:space="preserve"> </w:t>
      </w:r>
      <w:r>
        <w:rPr>
          <w:i/>
          <w:iCs/>
        </w:rPr>
        <w:t xml:space="preserve">Pine</w:t>
      </w:r>
      <w:r>
        <w:rPr>
          <w:i/>
          <w:iCs/>
        </w:rPr>
        <w:t xml:space="preserve"> </w:t>
      </w:r>
      <w:r>
        <w:rPr>
          <w:i/>
          <w:iCs/>
        </w:rPr>
        <w:t xml:space="preserve">Test Site 3</w:t>
      </w:r>
      <w:r>
        <w:t xml:space="preserve">. Purdue University Research Repository.</w:t>
      </w:r>
      <w:r>
        <w:t xml:space="preserve"> </w:t>
      </w:r>
      <w:hyperlink r:id="rId78">
        <w:r>
          <w:rPr>
            <w:rStyle w:val="Hyperlink"/>
          </w:rPr>
          <w:t xml:space="preserve">https://doi.org/10.4231/R7RX991C</w:t>
        </w:r>
      </w:hyperlink>
      <w:r>
        <w:t xml:space="preserve">.</w:t>
      </w:r>
    </w:p>
    <w:bookmarkEnd w:id="79"/>
    <w:bookmarkStart w:id="81" w:name="ref-bioucasdias2012unmixing"/>
    <w:p>
      <w:pPr>
        <w:pStyle w:val="Bibliography"/>
      </w:pPr>
      <w:r>
        <w:t xml:space="preserve">Bioucas-Dias, José M., Antonio Plaza, Nicolas Dobigeon, et al. 2012.</w:t>
      </w:r>
      <w:r>
        <w:t xml:space="preserve"> </w:t>
      </w:r>
      <w:r>
        <w:t xml:space="preserve">“Hyperspectral Unmixing Overview: Geometrical, Statistical, and Sparse Regression-Based Approaches.”</w:t>
      </w:r>
      <w:r>
        <w:t xml:space="preserve"> </w:t>
      </w:r>
      <w:r>
        <w:rPr>
          <w:i/>
          <w:iCs/>
        </w:rPr>
        <w:t xml:space="preserve">IEEE Journal of Selected Topics in Applied Earth Observations and Remote Sensing</w:t>
      </w:r>
      <w:r>
        <w:t xml:space="preserve"> </w:t>
      </w:r>
      <w:r>
        <w:t xml:space="preserve">5 (2): 354–79.</w:t>
      </w:r>
      <w:r>
        <w:t xml:space="preserve"> </w:t>
      </w:r>
      <w:hyperlink r:id="rId80">
        <w:r>
          <w:rPr>
            <w:rStyle w:val="Hyperlink"/>
          </w:rPr>
          <w:t xml:space="preserve">https://doi.org/10.1109/JSTARS.2012.2194696</w:t>
        </w:r>
      </w:hyperlink>
      <w:r>
        <w:t xml:space="preserve">.</w:t>
      </w:r>
    </w:p>
    <w:bookmarkEnd w:id="81"/>
    <w:bookmarkStart w:id="83" w:name="ref-blei2003lda"/>
    <w:p>
      <w:pPr>
        <w:pStyle w:val="Bibliography"/>
      </w:pPr>
      <w:r>
        <w:t xml:space="preserve">Blei, David M., Andrew Y. Ng, and Michael I. Jordan. 2003.</w:t>
      </w:r>
      <w:r>
        <w:t xml:space="preserve"> </w:t>
      </w:r>
      <w:r>
        <w:t xml:space="preserve">“Latent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3: 993–1022.</w:t>
      </w:r>
      <w:r>
        <w:t xml:space="preserve"> </w:t>
      </w:r>
      <w:hyperlink r:id="rId82">
        <w:r>
          <w:rPr>
            <w:rStyle w:val="Hyperlink"/>
          </w:rPr>
          <w:t xml:space="preserve">https://jmlr.org/papers/v3/blei03a.html</w:t>
        </w:r>
      </w:hyperlink>
      <w:r>
        <w:t xml:space="preserve">.</w:t>
      </w:r>
    </w:p>
    <w:bookmarkEnd w:id="83"/>
    <w:bookmarkStart w:id="85" w:name="ref-borsoi2021variability"/>
    <w:p>
      <w:pPr>
        <w:pStyle w:val="Bibliography"/>
      </w:pPr>
      <w:r>
        <w:t xml:space="preserve">Borsoi, Ricardo Augusto, Tales Imbiriba, José Carlos Moreira Bermudez, et al. 2021.</w:t>
      </w:r>
      <w:r>
        <w:t xml:space="preserve"> </w:t>
      </w:r>
      <w:r>
        <w:t xml:space="preserve">“Spectral Variability in Hyperspectral Data Unmixing: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 Review.”</w:t>
      </w:r>
      <w:r>
        <w:t xml:space="preserve"> </w:t>
      </w:r>
      <w:r>
        <w:rPr>
          <w:i/>
          <w:iCs/>
        </w:rPr>
        <w:t xml:space="preserve">IEEE Geoscience and Remote Sensing Magazine</w:t>
      </w:r>
      <w:r>
        <w:t xml:space="preserve"> </w:t>
      </w:r>
      <w:r>
        <w:t xml:space="preserve">9 (4): 223–70.</w:t>
      </w:r>
      <w:r>
        <w:t xml:space="preserve"> </w:t>
      </w:r>
      <w:hyperlink r:id="rId84">
        <w:r>
          <w:rPr>
            <w:rStyle w:val="Hyperlink"/>
          </w:rPr>
          <w:t xml:space="preserve">https://doi.org/10.1109/MGRS.2021.3071158</w:t>
        </w:r>
      </w:hyperlink>
      <w:r>
        <w:t xml:space="preserve">.</w:t>
      </w:r>
    </w:p>
    <w:bookmarkEnd w:id="85"/>
    <w:bookmarkStart w:id="87" w:name="ref-camps2014advances"/>
    <w:p>
      <w:pPr>
        <w:pStyle w:val="Bibliography"/>
      </w:pPr>
      <w:r>
        <w:t xml:space="preserve">Camps-Valls, Gustavo, Devis Tuia, Lorenzo Bruzzone, and Jón Atli Benediktsson. 2014.</w:t>
      </w:r>
      <w:r>
        <w:t xml:space="preserve"> </w:t>
      </w:r>
      <w:r>
        <w:t xml:space="preserve">“Advances in Hyperspectral Image Classification:</w:t>
      </w:r>
      <w:r>
        <w:t xml:space="preserve"> </w:t>
      </w:r>
      <w:r>
        <w:t xml:space="preserve">Earth</w:t>
      </w:r>
      <w:r>
        <w:t xml:space="preserve"> </w:t>
      </w:r>
      <w:r>
        <w:t xml:space="preserve">Monitoring with Statistical Learning Methods.”</w:t>
      </w:r>
      <w:r>
        <w:t xml:space="preserve"> </w:t>
      </w:r>
      <w:r>
        <w:rPr>
          <w:i/>
          <w:iCs/>
        </w:rPr>
        <w:t xml:space="preserve">IEEE Signal Processing Magazine</w:t>
      </w:r>
      <w:r>
        <w:t xml:space="preserve"> </w:t>
      </w:r>
      <w:r>
        <w:t xml:space="preserve">31 (1): 45–54.</w:t>
      </w:r>
      <w:r>
        <w:t xml:space="preserve"> </w:t>
      </w:r>
      <w:hyperlink r:id="rId86">
        <w:r>
          <w:rPr>
            <w:rStyle w:val="Hyperlink"/>
          </w:rPr>
          <w:t xml:space="preserve">https://doi.org/10.1109/MSP.2013.2279179</w:t>
        </w:r>
      </w:hyperlink>
      <w:r>
        <w:t xml:space="preserve">.</w:t>
      </w:r>
    </w:p>
    <w:bookmarkEnd w:id="87"/>
    <w:bookmarkStart w:id="89" w:name="ref-card2018scholar"/>
    <w:p>
      <w:pPr>
        <w:pStyle w:val="Bibliography"/>
      </w:pPr>
      <w:r>
        <w:t xml:space="preserve">Card, Dallas, Chenhao Tan, and Noah A. Smith. 2018.</w:t>
      </w:r>
      <w:r>
        <w:t xml:space="preserve"> </w:t>
      </w:r>
      <w:r>
        <w:t xml:space="preserve">“Neural Models for Documents with Metadata.”</w:t>
      </w:r>
      <w:r>
        <w:t xml:space="preserve"> </w:t>
      </w:r>
      <w:r>
        <w:rPr>
          <w:i/>
          <w:iCs/>
        </w:rPr>
        <w:t xml:space="preserve">Proceedings of the 56th Annual Meeting of the Association for Computational Linguistics (ACL)</w:t>
      </w:r>
      <w:r>
        <w:t xml:space="preserve">, 2031–40.</w:t>
      </w:r>
      <w:r>
        <w:t xml:space="preserve"> </w:t>
      </w:r>
      <w:hyperlink r:id="rId88">
        <w:r>
          <w:rPr>
            <w:rStyle w:val="Hyperlink"/>
          </w:rPr>
          <w:t xml:space="preserve">https://doi.org/10.18653/v1/P18-1189</w:t>
        </w:r>
      </w:hyperlink>
      <w:r>
        <w:t xml:space="preserve">.</w:t>
      </w:r>
    </w:p>
    <w:bookmarkEnd w:id="89"/>
    <w:bookmarkStart w:id="91" w:name="ref-chen2014deep"/>
    <w:p>
      <w:pPr>
        <w:pStyle w:val="Bibliography"/>
      </w:pPr>
      <w:r>
        <w:t xml:space="preserve">Chen, Yushi, Zhouhan Lin, Xing Zhao, Gang Wang, and Yanfeng Gu. 2014.</w:t>
      </w:r>
      <w:r>
        <w:t xml:space="preserve"> </w:t>
      </w:r>
      <w:r>
        <w:t xml:space="preserve">“Deep Learning-Based Classification of Hyperspectral Data.”</w:t>
      </w:r>
      <w:r>
        <w:t xml:space="preserve"> </w:t>
      </w:r>
      <w:r>
        <w:rPr>
          <w:i/>
          <w:iCs/>
        </w:rPr>
        <w:t xml:space="preserve">IEEE Journal of Selected Topics in Applied Earth Observations and Remote Sensing</w:t>
      </w:r>
      <w:r>
        <w:t xml:space="preserve"> </w:t>
      </w:r>
      <w:r>
        <w:t xml:space="preserve">7 (6): 2094–107.</w:t>
      </w:r>
      <w:r>
        <w:t xml:space="preserve"> </w:t>
      </w:r>
      <w:hyperlink r:id="rId90">
        <w:r>
          <w:rPr>
            <w:rStyle w:val="Hyperlink"/>
          </w:rPr>
          <w:t xml:space="preserve">https://doi.org/10.1109/JSTARS.2014.2329330</w:t>
        </w:r>
      </w:hyperlink>
      <w:r>
        <w:t xml:space="preserve">.</w:t>
      </w:r>
    </w:p>
    <w:bookmarkEnd w:id="91"/>
    <w:bookmarkStart w:id="93" w:name="ref-dieng2020topic"/>
    <w:p>
      <w:pPr>
        <w:pStyle w:val="Bibliography"/>
      </w:pPr>
      <w:r>
        <w:t xml:space="preserve">Dieng, Adji B., Francisco J. R. Ruiz, and David M. Blei. 2020.</w:t>
      </w:r>
      <w:r>
        <w:t xml:space="preserve"> </w:t>
      </w:r>
      <w:r>
        <w:t xml:space="preserve">“Topic Modeling in Embedding Spaces.”</w:t>
      </w:r>
      <w:r>
        <w:t xml:space="preserve"> </w:t>
      </w:r>
      <w:r>
        <w:rPr>
          <w:i/>
          <w:iCs/>
        </w:rPr>
        <w:t xml:space="preserve">Transactions of the Association for Computational Linguistics</w:t>
      </w:r>
      <w:r>
        <w:t xml:space="preserve"> </w:t>
      </w:r>
      <w:r>
        <w:t xml:space="preserve">8: 439–53.</w:t>
      </w:r>
      <w:r>
        <w:t xml:space="preserve"> </w:t>
      </w:r>
      <w:hyperlink r:id="rId92">
        <w:r>
          <w:rPr>
            <w:rStyle w:val="Hyperlink"/>
          </w:rPr>
          <w:t xml:space="preserve">https://doi.org/10.1162/tacl_a_00325</w:t>
        </w:r>
      </w:hyperlink>
      <w:r>
        <w:t xml:space="preserve">.</w:t>
      </w:r>
    </w:p>
    <w:bookmarkEnd w:id="93"/>
    <w:bookmarkStart w:id="95" w:name="ref-hidsag2023figshare"/>
    <w:p>
      <w:pPr>
        <w:pStyle w:val="Bibliography"/>
      </w:pPr>
      <w:r>
        <w:t xml:space="preserve">Ehrenfeld, Alejandro. 2023.</w:t>
      </w:r>
      <w:r>
        <w:t xml:space="preserve"> </w:t>
      </w:r>
      <w:r>
        <w:rPr>
          <w:i/>
          <w:iCs/>
        </w:rPr>
        <w:t xml:space="preserve">HIDSAG</w:t>
      </w:r>
      <w:r>
        <w:rPr>
          <w:i/>
          <w:iCs/>
        </w:rPr>
        <w:t xml:space="preserve">: Hyperspectral Image Database for Supervised Analysis in Geometallurgy</w:t>
      </w:r>
      <w:r>
        <w:t xml:space="preserve">. Figshare Collection,</w:t>
      </w:r>
      <w:r>
        <w:t xml:space="preserve"> </w:t>
      </w:r>
      <w:hyperlink r:id="rId94">
        <w:r>
          <w:rPr>
            <w:rStyle w:val="Hyperlink"/>
          </w:rPr>
          <w:t xml:space="preserve">https://doi.org/10.6084/m9.figshare.c.5983921.v1</w:t>
        </w:r>
      </w:hyperlink>
      <w:r>
        <w:t xml:space="preserve">; figshare.</w:t>
      </w:r>
      <w:r>
        <w:t xml:space="preserve"> </w:t>
      </w:r>
      <w:hyperlink r:id="rId94">
        <w:r>
          <w:rPr>
            <w:rStyle w:val="Hyperlink"/>
          </w:rPr>
          <w:t xml:space="preserve">https://doi.org/10.6084/m9.figshare.c.5983921.v1</w:t>
        </w:r>
      </w:hyperlink>
      <w:r>
        <w:t xml:space="preserve">.</w:t>
      </w:r>
    </w:p>
    <w:bookmarkEnd w:id="95"/>
    <w:bookmarkStart w:id="97" w:name="ref-hidsag2023"/>
    <w:p>
      <w:pPr>
        <w:pStyle w:val="Bibliography"/>
      </w:pPr>
      <w:r>
        <w:t xml:space="preserve">Ehrenfeld, Alejandro, Álvaro F. Egaña, Felipe Santibañez-Leal, et al. 2023.</w:t>
      </w:r>
      <w:r>
        <w:t xml:space="preserve"> </w:t>
      </w:r>
      <w:r>
        <w:t xml:space="preserve">“</w:t>
      </w:r>
      <w:r>
        <w:t xml:space="preserve">HIDSAG</w:t>
      </w:r>
      <w:r>
        <w:t xml:space="preserve">: Hyperspectral Image Database for Supervised Analysis in Geometallurgy.”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10 (1): 164.</w:t>
      </w:r>
      <w:r>
        <w:t xml:space="preserve"> </w:t>
      </w:r>
      <w:hyperlink r:id="rId96">
        <w:r>
          <w:rPr>
            <w:rStyle w:val="Hyperlink"/>
          </w:rPr>
          <w:t xml:space="preserve">https://doi.org/10.1038/s41597-023-02061-x</w:t>
        </w:r>
      </w:hyperlink>
      <w:r>
        <w:t xml:space="preserve">.</w:t>
      </w:r>
    </w:p>
    <w:bookmarkEnd w:id="97"/>
    <w:bookmarkStart w:id="99" w:name="ref-felzenszwalb2004efficient"/>
    <w:p>
      <w:pPr>
        <w:pStyle w:val="Bibliography"/>
      </w:pPr>
      <w:r>
        <w:t xml:space="preserve">Felzenszwalb, Pedro F., and Daniel P. Huttenlocher. 2004.</w:t>
      </w:r>
      <w:r>
        <w:t xml:space="preserve"> </w:t>
      </w:r>
      <w:r>
        <w:t xml:space="preserve">“Efficient Graph-Based Image Segmentation.”</w:t>
      </w:r>
      <w:r>
        <w:t xml:space="preserve"> </w:t>
      </w:r>
      <w:r>
        <w:rPr>
          <w:i/>
          <w:iCs/>
        </w:rPr>
        <w:t xml:space="preserve">International Journal of Computer Vision</w:t>
      </w:r>
      <w:r>
        <w:t xml:space="preserve"> </w:t>
      </w:r>
      <w:r>
        <w:t xml:space="preserve">59 (2): 167–81.</w:t>
      </w:r>
      <w:r>
        <w:t xml:space="preserve"> </w:t>
      </w:r>
      <w:hyperlink r:id="rId98">
        <w:r>
          <w:rPr>
            <w:rStyle w:val="Hyperlink"/>
          </w:rPr>
          <w:t xml:space="preserve">https://doi.org/10.1023/B:VISI.0000022288.19776.77</w:t>
        </w:r>
      </w:hyperlink>
      <w:r>
        <w:t xml:space="preserve">.</w:t>
      </w:r>
    </w:p>
    <w:bookmarkEnd w:id="99"/>
    <w:bookmarkStart w:id="101" w:name="ref-rosis_pavia"/>
    <w:p>
      <w:pPr>
        <w:pStyle w:val="Bibliography"/>
      </w:pPr>
      <w:r>
        <w:t xml:space="preserve">German Aerospace Center (DLR) ROSIS sensor. 2003.</w:t>
      </w:r>
      <w:r>
        <w:t xml:space="preserve"> </w:t>
      </w:r>
      <w:r>
        <w:rPr>
          <w:i/>
          <w:iCs/>
        </w:rPr>
        <w:t xml:space="preserve">ROSIS</w:t>
      </w:r>
      <w:r>
        <w:rPr>
          <w:i/>
          <w:iCs/>
        </w:rPr>
        <w:t xml:space="preserve"> </w:t>
      </w:r>
      <w:r>
        <w:rPr>
          <w:i/>
          <w:iCs/>
        </w:rPr>
        <w:t xml:space="preserve">Pavia</w:t>
      </w:r>
      <w:r>
        <w:rPr>
          <w:i/>
          <w:iCs/>
        </w:rPr>
        <w:t xml:space="preserve"> </w:t>
      </w:r>
      <w:r>
        <w:rPr>
          <w:i/>
          <w:iCs/>
        </w:rPr>
        <w:t xml:space="preserve">University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Dataset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https://www.ehu.eus/ccwintco/index.php/Hyperspectral_Remote_Sensing_Scenes#Pavia_University_scene</w:t>
        </w:r>
      </w:hyperlink>
      <w:r>
        <w:t xml:space="preserve">.</w:t>
      </w:r>
    </w:p>
    <w:bookmarkEnd w:id="101"/>
    <w:bookmarkStart w:id="103" w:name="ref-gershogray1992vq"/>
    <w:p>
      <w:pPr>
        <w:pStyle w:val="Bibliography"/>
      </w:pPr>
      <w:r>
        <w:t xml:space="preserve">Gersho, Allen, and Robert M. Gray. 1992.</w:t>
      </w:r>
      <w:r>
        <w:t xml:space="preserve"> </w:t>
      </w:r>
      <w:r>
        <w:rPr>
          <w:i/>
          <w:iCs/>
        </w:rPr>
        <w:t xml:space="preserve">Vector Quantization and Signal Compression</w:t>
      </w:r>
      <w:r>
        <w:t xml:space="preserve">. Vol. 159. The Springer International Series in Engineering and Computer Science. Kluwer Academic Publishers.</w:t>
      </w:r>
      <w:r>
        <w:t xml:space="preserve"> </w:t>
      </w:r>
      <w:hyperlink r:id="rId102">
        <w:r>
          <w:rPr>
            <w:rStyle w:val="Hyperlink"/>
          </w:rPr>
          <w:t xml:space="preserve">https://doi.org/10.1007/978-1-4615-3626-0</w:t>
        </w:r>
      </w:hyperlink>
      <w:r>
        <w:t xml:space="preserve">.</w:t>
      </w:r>
    </w:p>
    <w:bookmarkEnd w:id="103"/>
    <w:bookmarkStart w:id="105" w:name="ref-greene2014topics"/>
    <w:p>
      <w:pPr>
        <w:pStyle w:val="Bibliography"/>
      </w:pPr>
      <w:r>
        <w:t xml:space="preserve">Greene, Derek, Derek O’Callaghan, and Pádraig Cunningham. 2014.</w:t>
      </w:r>
      <w:r>
        <w:t xml:space="preserve"> </w:t>
      </w:r>
      <w:r>
        <w:t xml:space="preserve">“How Many Topics?</w:t>
      </w:r>
      <w:r>
        <w:t xml:space="preserve"> </w:t>
      </w:r>
      <w:r>
        <w:t xml:space="preserve">Stability</w:t>
      </w:r>
      <w:r>
        <w:t xml:space="preserve"> </w:t>
      </w:r>
      <w:r>
        <w:t xml:space="preserve">Analysis for Topic Models.”</w:t>
      </w:r>
      <w:r>
        <w:t xml:space="preserve"> </w:t>
      </w:r>
      <w:r>
        <w:rPr>
          <w:i/>
          <w:iCs/>
        </w:rPr>
        <w:t xml:space="preserve">Joint European Conference on Machine Learning and Knowledge Discovery in Databases (ECML-PKDD)</w:t>
      </w:r>
      <w:r>
        <w:t xml:space="preserve">, Lecture notes in computer science, vol. 8724: 498–513.</w:t>
      </w:r>
      <w:r>
        <w:t xml:space="preserve"> </w:t>
      </w:r>
      <w:hyperlink r:id="rId104">
        <w:r>
          <w:rPr>
            <w:rStyle w:val="Hyperlink"/>
          </w:rPr>
          <w:t xml:space="preserve">https://doi.org/10.1007/978-3-662-44848-9_32</w:t>
        </w:r>
      </w:hyperlink>
      <w:r>
        <w:t xml:space="preserve">.</w:t>
      </w:r>
    </w:p>
    <w:bookmarkEnd w:id="105"/>
    <w:bookmarkStart w:id="107" w:name="ref-harris2020numpy"/>
    <w:p>
      <w:pPr>
        <w:pStyle w:val="Bibliography"/>
      </w:pPr>
      <w:r>
        <w:t xml:space="preserve">Harris, Charles R., K. Jarrod Millman, Stéfan J. van der Walt, et al.</w:t>
      </w:r>
      <w:r>
        <w:t xml:space="preserve"> 2020.</w:t>
      </w:r>
      <w:r>
        <w:t xml:space="preserve"> </w:t>
      </w:r>
      <w:r>
        <w:t xml:space="preserve">“Array Programming with</w:t>
      </w:r>
      <w:r>
        <w:t xml:space="preserve"> </w:t>
      </w:r>
      <w:r>
        <w:t xml:space="preserve">NumPy</w:t>
      </w:r>
      <w:r>
        <w:t xml:space="preserve">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585: 357–62.</w:t>
      </w:r>
      <w:r>
        <w:t xml:space="preserve"> </w:t>
      </w:r>
      <w:hyperlink r:id="rId106">
        <w:r>
          <w:rPr>
            <w:rStyle w:val="Hyperlink"/>
          </w:rPr>
          <w:t xml:space="preserve">https://doi.org/10.1038/s41586-020-2649-2</w:t>
        </w:r>
      </w:hyperlink>
      <w:r>
        <w:t xml:space="preserve">.</w:t>
      </w:r>
    </w:p>
    <w:bookmarkEnd w:id="107"/>
    <w:bookmarkStart w:id="109" w:name="ref-higgins2017betavae"/>
    <w:p>
      <w:pPr>
        <w:pStyle w:val="Bibliography"/>
      </w:pPr>
      <w:r>
        <w:t xml:space="preserve">Higgins, Irina, Loic Matthey, Arka Pal, et al. 2017.</w:t>
      </w:r>
      <w:r>
        <w:t xml:space="preserve"> </w:t>
      </w:r>
      <w:r>
        <w:t xml:space="preserve">“Beta-</w:t>
      </w:r>
      <w:r>
        <w:t xml:space="preserve">VAE</w:t>
      </w:r>
      <w:r>
        <w:t xml:space="preserve">: Learning Basic Visual Concepts with a Constrained Variational Framework.”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https://openreview.net/forum?id=Sy2fzU9gl</w:t>
        </w:r>
      </w:hyperlink>
      <w:r>
        <w:t xml:space="preserve">.</w:t>
      </w:r>
    </w:p>
    <w:bookmarkEnd w:id="109"/>
    <w:bookmarkStart w:id="111" w:name="ref-hoffman2010online"/>
    <w:p>
      <w:pPr>
        <w:pStyle w:val="Bibliography"/>
      </w:pPr>
      <w:r>
        <w:t xml:space="preserve">Hoffman, Matthew D., David M. Blei, and Francis R. Bach. 2010.</w:t>
      </w:r>
      <w:r>
        <w:t xml:space="preserve"> </w:t>
      </w:r>
      <w:r>
        <w:t xml:space="preserve">“Online Learning for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Advances in Neural Information Processing Systems 23 (NIPS 2010)</w:t>
      </w:r>
      <w:r>
        <w:t xml:space="preserve">, 856–64.</w:t>
      </w:r>
      <w:r>
        <w:t xml:space="preserve"> </w:t>
      </w:r>
      <w:hyperlink r:id="rId110">
        <w:r>
          <w:rPr>
            <w:rStyle w:val="Hyperlink"/>
          </w:rPr>
          <w:t xml:space="preserve">https://papers.nips.cc/paper/3902-online-learning-for-latent-dirichlet-allocation</w:t>
        </w:r>
      </w:hyperlink>
      <w:r>
        <w:t xml:space="preserve">.</w:t>
      </w:r>
    </w:p>
    <w:bookmarkEnd w:id="111"/>
    <w:bookmarkStart w:id="113" w:name="ref-hubert1985ari"/>
    <w:p>
      <w:pPr>
        <w:pStyle w:val="Bibliography"/>
      </w:pPr>
      <w:r>
        <w:t xml:space="preserve">Hubert, Lawrence, and Phipps Arabie. 1985.</w:t>
      </w:r>
      <w:r>
        <w:t xml:space="preserve"> </w:t>
      </w:r>
      <w:r>
        <w:t xml:space="preserve">“Comparing Partitions.”</w:t>
      </w:r>
      <w:r>
        <w:t xml:space="preserve"> </w:t>
      </w:r>
      <w:r>
        <w:rPr>
          <w:i/>
          <w:iCs/>
        </w:rPr>
        <w:t xml:space="preserve">Journal of Classification</w:t>
      </w:r>
      <w:r>
        <w:t xml:space="preserve"> </w:t>
      </w:r>
      <w:r>
        <w:t xml:space="preserve">2 (1): 193–218.</w:t>
      </w:r>
      <w:r>
        <w:t xml:space="preserve"> </w:t>
      </w:r>
      <w:hyperlink r:id="rId112">
        <w:r>
          <w:rPr>
            <w:rStyle w:val="Hyperlink"/>
          </w:rPr>
          <w:t xml:space="preserve">https://doi.org/10.1007/BF01908075</w:t>
        </w:r>
      </w:hyperlink>
      <w:r>
        <w:t xml:space="preserve">.</w:t>
      </w:r>
    </w:p>
    <w:bookmarkEnd w:id="113"/>
    <w:bookmarkStart w:id="115" w:name="ref-kingma2014auto"/>
    <w:p>
      <w:pPr>
        <w:pStyle w:val="Bibliography"/>
      </w:pPr>
      <w:r>
        <w:t xml:space="preserve">Kingma, Diederik P., and Max Welling. 2014.</w:t>
      </w:r>
      <w:r>
        <w:t xml:space="preserve"> </w:t>
      </w:r>
      <w:r>
        <w:t xml:space="preserve">“Auto-Encoding Variational</w:t>
      </w:r>
      <w:r>
        <w:t xml:space="preserve"> </w:t>
      </w:r>
      <w:r>
        <w:t xml:space="preserve">Bayes</w:t>
      </w:r>
      <w:r>
        <w:t xml:space="preserve">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https://arxiv.org/abs/1312.6114</w:t>
        </w:r>
      </w:hyperlink>
      <w:r>
        <w:t xml:space="preserve">.</w:t>
      </w:r>
    </w:p>
    <w:bookmarkEnd w:id="115"/>
    <w:bookmarkStart w:id="117" w:name="ref-kokaly2017splib07"/>
    <w:p>
      <w:pPr>
        <w:pStyle w:val="Bibliography"/>
      </w:pPr>
      <w:r>
        <w:t xml:space="preserve">Kokaly, Raymond F., Roger N. Clark, Gregg A. Swayze, et al. 2017.</w:t>
      </w:r>
      <w:r>
        <w:t xml:space="preserve"> </w:t>
      </w:r>
      <w:r>
        <w:rPr>
          <w:i/>
          <w:iCs/>
        </w:rPr>
        <w:t xml:space="preserve">USGS</w:t>
      </w:r>
      <w:r>
        <w:rPr>
          <w:i/>
          <w:iCs/>
        </w:rPr>
        <w:t xml:space="preserve"> </w:t>
      </w:r>
      <w:r>
        <w:rPr>
          <w:i/>
          <w:iCs/>
        </w:rPr>
        <w:t xml:space="preserve">Spectral Library Version 7</w:t>
      </w:r>
      <w:r>
        <w:t xml:space="preserve">. Data Series No. 1035. U.S. Geological Survey.</w:t>
      </w:r>
      <w:r>
        <w:t xml:space="preserve"> </w:t>
      </w:r>
      <w:hyperlink r:id="rId116">
        <w:r>
          <w:rPr>
            <w:rStyle w:val="Hyperlink"/>
          </w:rPr>
          <w:t xml:space="preserve">https://doi.org/10.3133/ds1035</w:t>
        </w:r>
      </w:hyperlink>
      <w:r>
        <w:t xml:space="preserve">.</w:t>
      </w:r>
    </w:p>
    <w:bookmarkEnd w:id="117"/>
    <w:bookmarkStart w:id="119" w:name="ref-kuhn1955hungarian"/>
    <w:p>
      <w:pPr>
        <w:pStyle w:val="Bibliography"/>
      </w:pPr>
      <w:r>
        <w:t xml:space="preserve">Kuhn, H. W. 1955.</w:t>
      </w:r>
      <w:r>
        <w:t xml:space="preserve"> </w:t>
      </w:r>
      <w:r>
        <w:t xml:space="preserve">“The</w:t>
      </w:r>
      <w:r>
        <w:t xml:space="preserve"> </w:t>
      </w:r>
      <w:r>
        <w:t xml:space="preserve">Hungarian</w:t>
      </w:r>
      <w:r>
        <w:t xml:space="preserve"> </w:t>
      </w:r>
      <w:r>
        <w:t xml:space="preserve">Method for the Assignment Problem.”</w:t>
      </w:r>
      <w:r>
        <w:t xml:space="preserve"> </w:t>
      </w:r>
      <w:r>
        <w:rPr>
          <w:i/>
          <w:iCs/>
        </w:rPr>
        <w:t xml:space="preserve">Naval Research Logistics Quarterly</w:t>
      </w:r>
      <w:r>
        <w:t xml:space="preserve"> </w:t>
      </w:r>
      <w:r>
        <w:t xml:space="preserve">2 (1–2): 83–97.</w:t>
      </w:r>
      <w:r>
        <w:t xml:space="preserve"> </w:t>
      </w:r>
      <w:hyperlink r:id="rId118">
        <w:r>
          <w:rPr>
            <w:rStyle w:val="Hyperlink"/>
          </w:rPr>
          <w:t xml:space="preserve">https://doi.org/10.1002/nav.3800020109</w:t>
        </w:r>
      </w:hyperlink>
      <w:r>
        <w:t xml:space="preserve">.</w:t>
      </w:r>
    </w:p>
    <w:bookmarkEnd w:id="119"/>
    <w:bookmarkStart w:id="121" w:name="ref-miao2016neural"/>
    <w:p>
      <w:pPr>
        <w:pStyle w:val="Bibliography"/>
      </w:pPr>
      <w:r>
        <w:t xml:space="preserve">Miao, Yishu, Lei Yu, and Phil Blunsom. 2016.</w:t>
      </w:r>
      <w:r>
        <w:t xml:space="preserve"> </w:t>
      </w:r>
      <w:r>
        <w:t xml:space="preserve">“Neural Variational Inference for Text Processing.”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1727–36.</w:t>
      </w:r>
      <w:r>
        <w:t xml:space="preserve"> </w:t>
      </w:r>
      <w:hyperlink r:id="rId120">
        <w:r>
          <w:rPr>
            <w:rStyle w:val="Hyperlink"/>
          </w:rPr>
          <w:t xml:space="preserve">http://proceedings.mlr.press/v48/miao16.html</w:t>
        </w:r>
      </w:hyperlink>
      <w:r>
        <w:t xml:space="preserve">.</w:t>
      </w:r>
    </w:p>
    <w:bookmarkEnd w:id="121"/>
    <w:bookmarkStart w:id="123" w:name="ref-mimno2008topic"/>
    <w:p>
      <w:pPr>
        <w:pStyle w:val="Bibliography"/>
      </w:pPr>
      <w:r>
        <w:t xml:space="preserve">Mimno, David, and Andrew McCallum. 2008.</w:t>
      </w:r>
      <w:r>
        <w:t xml:space="preserve"> </w:t>
      </w:r>
      <w:r>
        <w:t xml:space="preserve">“Topic Models Conditioned on Arbitrary Features with</w:t>
      </w:r>
      <w:r>
        <w:t xml:space="preserve"> </w:t>
      </w:r>
      <w:r>
        <w:t xml:space="preserve">Dirichlet</w:t>
      </w:r>
      <w:r>
        <w:t xml:space="preserve">-Multinomial Regression.”</w:t>
      </w:r>
      <w:r>
        <w:t xml:space="preserve"> </w:t>
      </w:r>
      <w:r>
        <w:rPr>
          <w:i/>
          <w:iCs/>
        </w:rPr>
        <w:t xml:space="preserve">Proceedings of the 24th Conference on Uncertainty in Artificial Intelligence (UAI)</w:t>
      </w:r>
      <w:r>
        <w:t xml:space="preserve">, 411–18.</w:t>
      </w:r>
      <w:r>
        <w:t xml:space="preserve"> </w:t>
      </w:r>
      <w:hyperlink r:id="rId122">
        <w:r>
          <w:rPr>
            <w:rStyle w:val="Hyperlink"/>
          </w:rPr>
          <w:t xml:space="preserve">https://arxiv.org/abs/1206.3278</w:t>
        </w:r>
      </w:hyperlink>
      <w:r>
        <w:t xml:space="preserve">.</w:t>
      </w:r>
    </w:p>
    <w:bookmarkEnd w:id="123"/>
    <w:bookmarkStart w:id="125" w:name="ref-mimno2011coherence"/>
    <w:p>
      <w:pPr>
        <w:pStyle w:val="Bibliography"/>
      </w:pPr>
      <w:r>
        <w:t xml:space="preserve">Mimno, David, Hanna M. Wallach, Edmund Talley, Miriam Leenders, and Andrew McCallum. 2011.</w:t>
      </w:r>
      <w:r>
        <w:t xml:space="preserve"> </w:t>
      </w:r>
      <w:r>
        <w:t xml:space="preserve">“Optimizing Semantic Coherence in Topic Models.”</w:t>
      </w:r>
      <w:r>
        <w:t xml:space="preserve"> </w:t>
      </w:r>
      <w:r>
        <w:rPr>
          <w:i/>
          <w:iCs/>
        </w:rPr>
        <w:t xml:space="preserve">Proceedings of the 2011 Conference on Empirical Methods in Natural Language Processing (EMNLP)</w:t>
      </w:r>
      <w:r>
        <w:t xml:space="preserve">, 262–72.</w:t>
      </w:r>
      <w:r>
        <w:t xml:space="preserve"> </w:t>
      </w:r>
      <w:hyperlink r:id="rId124">
        <w:r>
          <w:rPr>
            <w:rStyle w:val="Hyperlink"/>
          </w:rPr>
          <w:t xml:space="preserve">https://aclanthology.org/D11-1024/</w:t>
        </w:r>
      </w:hyperlink>
      <w:r>
        <w:t xml:space="preserve">.</w:t>
      </w:r>
    </w:p>
    <w:bookmarkEnd w:id="125"/>
    <w:bookmarkStart w:id="127" w:name="ref-munkres1957algorithms"/>
    <w:p>
      <w:pPr>
        <w:pStyle w:val="Bibliography"/>
      </w:pPr>
      <w:r>
        <w:t xml:space="preserve">Munkres, James. 1957.</w:t>
      </w:r>
      <w:r>
        <w:t xml:space="preserve"> </w:t>
      </w:r>
      <w:r>
        <w:t xml:space="preserve">“Algorithms for the Assignment and Transportation Problems.”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5 (1): 32–38.</w:t>
      </w:r>
      <w:r>
        <w:t xml:space="preserve"> </w:t>
      </w:r>
      <w:hyperlink r:id="rId126">
        <w:r>
          <w:rPr>
            <w:rStyle w:val="Hyperlink"/>
          </w:rPr>
          <w:t xml:space="preserve">https://doi.org/10.1137/0105003</w:t>
        </w:r>
      </w:hyperlink>
      <w:r>
        <w:t xml:space="preserve">.</w:t>
      </w:r>
    </w:p>
    <w:bookmarkEnd w:id="127"/>
    <w:bookmarkStart w:id="129" w:name="ref-eo1_botswana"/>
    <w:p>
      <w:pPr>
        <w:pStyle w:val="Bibliography"/>
      </w:pPr>
      <w:r>
        <w:t xml:space="preserve">NASA EO-1 Hyperion Mission. 2001.</w:t>
      </w:r>
      <w:r>
        <w:t xml:space="preserve"> </w:t>
      </w:r>
      <w:r>
        <w:rPr>
          <w:i/>
          <w:iCs/>
        </w:rPr>
        <w:t xml:space="preserve">EO-1 Hyperion</w:t>
      </w:r>
      <w:r>
        <w:rPr>
          <w:i/>
          <w:iCs/>
        </w:rPr>
        <w:t xml:space="preserve"> </w:t>
      </w:r>
      <w:r>
        <w:rPr>
          <w:i/>
          <w:iCs/>
        </w:rPr>
        <w:t xml:space="preserve">Okavango</w:t>
      </w:r>
      <w:r>
        <w:rPr>
          <w:i/>
          <w:iCs/>
        </w:rPr>
        <w:t xml:space="preserve"> </w:t>
      </w:r>
      <w:r>
        <w:rPr>
          <w:i/>
          <w:iCs/>
        </w:rPr>
        <w:t xml:space="preserve">Botswana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Imagery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https://www.ehu.eus/ccwintco/index.php/Hyperspectral_Remote_Sensing_Scenes#Botswana</w:t>
        </w:r>
      </w:hyperlink>
      <w:r>
        <w:t xml:space="preserve">.</w:t>
      </w:r>
    </w:p>
    <w:bookmarkEnd w:id="129"/>
    <w:bookmarkStart w:id="131" w:name="ref-aviris_ksc"/>
    <w:p>
      <w:pPr>
        <w:pStyle w:val="Bibliography"/>
      </w:pPr>
      <w:r>
        <w:t xml:space="preserve">NASA/JPL Airborne Visible/Infrared Imaging Spectrometer Project. 1996.</w:t>
      </w:r>
      <w:r>
        <w:t xml:space="preserve"> </w:t>
      </w:r>
      <w:r>
        <w:rPr>
          <w:i/>
          <w:iCs/>
        </w:rPr>
        <w:t xml:space="preserve">AVIRIS</w:t>
      </w:r>
      <w:r>
        <w:rPr>
          <w:i/>
          <w:iCs/>
        </w:rPr>
        <w:t xml:space="preserve"> </w:t>
      </w:r>
      <w:r>
        <w:rPr>
          <w:i/>
          <w:iCs/>
        </w:rPr>
        <w:t xml:space="preserve">Kennedy</w:t>
      </w:r>
      <w:r>
        <w:rPr>
          <w:i/>
          <w:iCs/>
        </w:rPr>
        <w:t xml:space="preserve"> </w:t>
      </w:r>
      <w:r>
        <w:rPr>
          <w:i/>
          <w:iCs/>
        </w:rPr>
        <w:t xml:space="preserve">Space</w:t>
      </w:r>
      <w:r>
        <w:rPr>
          <w:i/>
          <w:iCs/>
        </w:rPr>
        <w:t xml:space="preserve"> </w:t>
      </w:r>
      <w:r>
        <w:rPr>
          <w:i/>
          <w:iCs/>
        </w:rPr>
        <w:t xml:space="preserve">Center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Imagery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https://www.ehu.eus/ccwintco/index.php/Hyperspectral_Remote_Sensing_Scenes#Kennedy_Space_Center_.28KSC.29</w:t>
        </w:r>
      </w:hyperlink>
      <w:r>
        <w:t xml:space="preserve">.</w:t>
      </w:r>
    </w:p>
    <w:bookmarkEnd w:id="131"/>
    <w:bookmarkStart w:id="133" w:name="ref-aviris_salinas"/>
    <w:p>
      <w:pPr>
        <w:pStyle w:val="Bibliography"/>
      </w:pPr>
      <w:r>
        <w:t xml:space="preserve">NASA/JPL Airborne Visible/Infrared Imaging Spectrometer Project. 1998.</w:t>
      </w:r>
      <w:r>
        <w:t xml:space="preserve"> </w:t>
      </w:r>
      <w:r>
        <w:rPr>
          <w:i/>
          <w:iCs/>
        </w:rPr>
        <w:t xml:space="preserve">AVIRIS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Imagery:</w:t>
      </w:r>
      <w:r>
        <w:rPr>
          <w:i/>
          <w:iCs/>
        </w:rPr>
        <w:t xml:space="preserve"> </w:t>
      </w:r>
      <w:r>
        <w:rPr>
          <w:i/>
          <w:iCs/>
        </w:rPr>
        <w:t xml:space="preserve">Salinas</w:t>
      </w:r>
      <w:r>
        <w:rPr>
          <w:i/>
          <w:iCs/>
        </w:rPr>
        <w:t xml:space="preserve"> </w:t>
      </w:r>
      <w:r>
        <w:rPr>
          <w:i/>
          <w:iCs/>
        </w:rPr>
        <w:t xml:space="preserve">Valley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California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https://www.ehu.eus/ccwintco/index.php/Hyperspectral_Remote_Sensing_Scenes#Salinas_scene</w:t>
        </w:r>
      </w:hyperlink>
      <w:r>
        <w:t xml:space="preserve">.</w:t>
      </w:r>
    </w:p>
    <w:bookmarkEnd w:id="133"/>
    <w:bookmarkStart w:id="135" w:name="ref-nascimento2005vca"/>
    <w:p>
      <w:pPr>
        <w:pStyle w:val="Bibliography"/>
      </w:pPr>
      <w:r>
        <w:t xml:space="preserve">Nascimento, José M. P., and José M. Bioucas-Dias. 2005.</w:t>
      </w:r>
      <w:r>
        <w:t xml:space="preserve"> </w:t>
      </w:r>
      <w:r>
        <w:t xml:space="preserve">“Vertex Component Analysis:</w:t>
      </w:r>
      <w:r>
        <w:t xml:space="preserve"> </w:t>
      </w:r>
      <w:r>
        <w:t xml:space="preserve">A</w:t>
      </w:r>
      <w:r>
        <w:t xml:space="preserve"> </w:t>
      </w:r>
      <w:r>
        <w:t xml:space="preserve">Fast Algorithm to Unmix Hyperspectral Data.”</w:t>
      </w:r>
      <w:r>
        <w:t xml:space="preserve"> </w:t>
      </w:r>
      <w:r>
        <w:rPr>
          <w:i/>
          <w:iCs/>
        </w:rPr>
        <w:t xml:space="preserve">IEEE Transactions on Geoscience and Remote Sensing</w:t>
      </w:r>
      <w:r>
        <w:t xml:space="preserve"> </w:t>
      </w:r>
      <w:r>
        <w:t xml:space="preserve">43 (4): 898–910.</w:t>
      </w:r>
      <w:r>
        <w:t xml:space="preserve"> </w:t>
      </w:r>
      <w:hyperlink r:id="rId134">
        <w:r>
          <w:rPr>
            <w:rStyle w:val="Hyperlink"/>
          </w:rPr>
          <w:t xml:space="preserve">https://doi.org/10.1109/TGRS.2005.844293</w:t>
        </w:r>
      </w:hyperlink>
      <w:r>
        <w:t xml:space="preserve">.</w:t>
      </w:r>
    </w:p>
    <w:bookmarkEnd w:id="135"/>
    <w:bookmarkStart w:id="137" w:name="ref-newman2010coherence"/>
    <w:p>
      <w:pPr>
        <w:pStyle w:val="Bibliography"/>
      </w:pPr>
      <w:r>
        <w:t xml:space="preserve">Newman, David, Jey Han Lau, Karl Grieser, and Timothy Baldwin. 2010.</w:t>
      </w:r>
      <w:r>
        <w:t xml:space="preserve"> </w:t>
      </w:r>
      <w:r>
        <w:t xml:space="preserve">“Automatic Evaluation of Topic Coherence.”</w:t>
      </w:r>
      <w:r>
        <w:t xml:space="preserve"> </w:t>
      </w:r>
      <w:r>
        <w:rPr>
          <w:i/>
          <w:iCs/>
        </w:rPr>
        <w:t xml:space="preserve">Human Language Technologies: The 2010 Annual Conference of the North American Chapter of the Association for Computational Linguistics (NAACL-HLT)</w:t>
      </w:r>
      <w:r>
        <w:t xml:space="preserve">, 100–108.</w:t>
      </w:r>
      <w:r>
        <w:t xml:space="preserve"> </w:t>
      </w:r>
      <w:hyperlink r:id="rId136">
        <w:r>
          <w:rPr>
            <w:rStyle w:val="Hyperlink"/>
          </w:rPr>
          <w:t xml:space="preserve">https://aclanthology.org/N10-1012/</w:t>
        </w:r>
      </w:hyperlink>
      <w:r>
        <w:t xml:space="preserve">.</w:t>
      </w:r>
    </w:p>
    <w:bookmarkEnd w:id="137"/>
    <w:bookmarkStart w:id="139" w:name="ref-paoletti2019deep"/>
    <w:p>
      <w:pPr>
        <w:pStyle w:val="Bibliography"/>
      </w:pPr>
      <w:r>
        <w:t xml:space="preserve">Paoletti, Mercedes E., Juan Mario Haut, Javier Plaza, and Antonio Plaza. 2019.</w:t>
      </w:r>
      <w:r>
        <w:t xml:space="preserve"> </w:t>
      </w:r>
      <w:r>
        <w:t xml:space="preserve">“Deep Learning Classifiers for Hyperspectral Imaging:</w:t>
      </w:r>
      <w:r>
        <w:t xml:space="preserve"> </w:t>
      </w:r>
      <w:r>
        <w:t xml:space="preserve">A</w:t>
      </w:r>
      <w:r>
        <w:t xml:space="preserve"> </w:t>
      </w:r>
      <w:r>
        <w:t xml:space="preserve">Review.”</w:t>
      </w:r>
      <w:r>
        <w:t xml:space="preserve"> </w:t>
      </w:r>
      <w:r>
        <w:rPr>
          <w:i/>
          <w:iCs/>
        </w:rPr>
        <w:t xml:space="preserve">ISPRS Journal of Photogrammetry and Remote Sensing</w:t>
      </w:r>
      <w:r>
        <w:t xml:space="preserve"> </w:t>
      </w:r>
      <w:r>
        <w:t xml:space="preserve">158: 279–317.</w:t>
      </w:r>
      <w:r>
        <w:t xml:space="preserve"> </w:t>
      </w:r>
      <w:hyperlink r:id="rId138">
        <w:r>
          <w:rPr>
            <w:rStyle w:val="Hyperlink"/>
          </w:rPr>
          <w:t xml:space="preserve">https://doi.org/10.1016/j.isprsjprs.2019.09.006</w:t>
        </w:r>
      </w:hyperlink>
      <w:r>
        <w:t xml:space="preserve">.</w:t>
      </w:r>
    </w:p>
    <w:bookmarkEnd w:id="139"/>
    <w:bookmarkStart w:id="141" w:name="ref-pedregosa2011scikit"/>
    <w:p>
      <w:pPr>
        <w:pStyle w:val="Bibliography"/>
      </w:pPr>
      <w:r>
        <w:t xml:space="preserve">Pedregosa, F., G. Varoquaux, A. Gramfort, et al. 2011.</w:t>
      </w:r>
      <w:r>
        <w:t xml:space="preserve"> </w:t>
      </w:r>
      <w:r>
        <w:t xml:space="preserve">“Scikit-Learn: Machine Learning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12: 2825–30.</w:t>
      </w:r>
      <w:r>
        <w:t xml:space="preserve"> </w:t>
      </w:r>
      <w:hyperlink r:id="rId140">
        <w:r>
          <w:rPr>
            <w:rStyle w:val="Hyperlink"/>
          </w:rPr>
          <w:t xml:space="preserve">https://jmlr.org/papers/v12/pedregosa11a.html</w:t>
        </w:r>
      </w:hyperlink>
      <w:r>
        <w:t xml:space="preserve">.</w:t>
      </w:r>
    </w:p>
    <w:bookmarkEnd w:id="141"/>
    <w:bookmarkStart w:id="143" w:name="ref-pineau2021nature"/>
    <w:p>
      <w:pPr>
        <w:pStyle w:val="Bibliography"/>
      </w:pPr>
      <w:r>
        <w:t xml:space="preserve">Pineau, Joelle, Philippe Vincent-Lamarre, Koustuv Sinha, et al.</w:t>
      </w:r>
      <w:r>
        <w:t xml:space="preserve"> 2021.</w:t>
      </w:r>
      <w:r>
        <w:t xml:space="preserve"> </w:t>
      </w:r>
      <w:r>
        <w:t xml:space="preserve">“Improving Reproducibility in Machine Learning Research (a Report from the</w:t>
      </w:r>
      <w:r>
        <w:t xml:space="preserve"> </w:t>
      </w:r>
      <w:r>
        <w:t xml:space="preserve">NeurIPS</w:t>
      </w:r>
      <w:r>
        <w:t xml:space="preserve"> </w:t>
      </w:r>
      <w:r>
        <w:t xml:space="preserve">2019 Reproducibility Program).”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22 (164): 1–20.</w:t>
      </w:r>
      <w:r>
        <w:t xml:space="preserve"> </w:t>
      </w:r>
      <w:hyperlink r:id="rId142">
        <w:r>
          <w:rPr>
            <w:rStyle w:val="Hyperlink"/>
          </w:rPr>
          <w:t xml:space="preserve">https://jmlr.org/papers/v22/20-303.html</w:t>
        </w:r>
      </w:hyperlink>
      <w:r>
        <w:t xml:space="preserve">.</w:t>
      </w:r>
    </w:p>
    <w:bookmarkEnd w:id="143"/>
    <w:bookmarkStart w:id="145" w:name="ref-plaza2009recent"/>
    <w:p>
      <w:pPr>
        <w:pStyle w:val="Bibliography"/>
      </w:pPr>
      <w:r>
        <w:t xml:space="preserve">Plaza, Antonio, Jon Atli Benediktsson, Joseph W. Boardman, et al. 2009.</w:t>
      </w:r>
      <w:r>
        <w:t xml:space="preserve"> </w:t>
      </w:r>
      <w:r>
        <w:t xml:space="preserve">“Recent Advances in Techniques for Hyperspectral Image Processing.”</w:t>
      </w:r>
      <w:r>
        <w:t xml:space="preserve"> </w:t>
      </w:r>
      <w:r>
        <w:rPr>
          <w:i/>
          <w:iCs/>
        </w:rPr>
        <w:t xml:space="preserve">Remote Sensing of Environment</w:t>
      </w:r>
      <w:r>
        <w:t xml:space="preserve"> </w:t>
      </w:r>
      <w:r>
        <w:t xml:space="preserve">113 (Supplement 1): S110–22.</w:t>
      </w:r>
      <w:r>
        <w:t xml:space="preserve"> </w:t>
      </w:r>
      <w:hyperlink r:id="rId144">
        <w:r>
          <w:rPr>
            <w:rStyle w:val="Hyperlink"/>
          </w:rPr>
          <w:t xml:space="preserve">https://doi.org/10.1016/j.rse.2007.07.028</w:t>
        </w:r>
      </w:hyperlink>
      <w:r>
        <w:t xml:space="preserve">.</w:t>
      </w:r>
    </w:p>
    <w:bookmarkEnd w:id="145"/>
    <w:bookmarkStart w:id="147" w:name="ref-rehurek2010gensim"/>
    <w:p>
      <w:pPr>
        <w:pStyle w:val="Bibliography"/>
      </w:pPr>
      <w:r>
        <w:t xml:space="preserve">Řehůřek, Radim, and Petr Sojka. 2010.</w:t>
      </w:r>
      <w:r>
        <w:t xml:space="preserve"> </w:t>
      </w:r>
      <w:r>
        <w:t xml:space="preserve">“Software Framework for Topic Modelling with Large Corpora.”</w:t>
      </w:r>
      <w:r>
        <w:t xml:space="preserve"> </w:t>
      </w:r>
      <w:r>
        <w:rPr>
          <w:i/>
          <w:iCs/>
        </w:rPr>
        <w:t xml:space="preserve">Proceedings of the LREC 2010 Workshop on New Challenges for NLP Frameworks</w:t>
      </w:r>
      <w:r>
        <w:t xml:space="preserve">, 45–50.</w:t>
      </w:r>
      <w:r>
        <w:t xml:space="preserve"> </w:t>
      </w:r>
      <w:hyperlink r:id="rId146">
        <w:r>
          <w:rPr>
            <w:rStyle w:val="Hyperlink"/>
          </w:rPr>
          <w:t xml:space="preserve">http://is.muni.cz/publication/884893/en</w:t>
        </w:r>
      </w:hyperlink>
      <w:r>
        <w:t xml:space="preserve">.</w:t>
      </w:r>
    </w:p>
    <w:bookmarkEnd w:id="147"/>
    <w:bookmarkStart w:id="149" w:name="ref-roder2015exploring"/>
    <w:p>
      <w:pPr>
        <w:pStyle w:val="Bibliography"/>
      </w:pPr>
      <w:r>
        <w:t xml:space="preserve">Röder, Michael, Andreas Both, and Alexander Hinneburg. 2015.</w:t>
      </w:r>
      <w:r>
        <w:t xml:space="preserve"> </w:t>
      </w:r>
      <w:r>
        <w:t xml:space="preserve">“Exploring the Space of Topic Coherence Measures.”</w:t>
      </w:r>
      <w:r>
        <w:t xml:space="preserve"> </w:t>
      </w:r>
      <w:r>
        <w:rPr>
          <w:i/>
          <w:iCs/>
        </w:rPr>
        <w:t xml:space="preserve">Proceedings of the Eighth ACM International Conference on Web Search and Data Mining (WSDM)</w:t>
      </w:r>
      <w:r>
        <w:t xml:space="preserve">, 399–408.</w:t>
      </w:r>
      <w:r>
        <w:t xml:space="preserve"> </w:t>
      </w:r>
      <w:hyperlink r:id="rId148">
        <w:r>
          <w:rPr>
            <w:rStyle w:val="Hyperlink"/>
          </w:rPr>
          <w:t xml:space="preserve">https://doi.org/10.1145/2684822.2685324</w:t>
        </w:r>
      </w:hyperlink>
      <w:r>
        <w:t xml:space="preserve">.</w:t>
      </w:r>
    </w:p>
    <w:bookmarkEnd w:id="149"/>
    <w:bookmarkStart w:id="151" w:name="ref-santibanezleal2022procemin"/>
    <w:p>
      <w:pPr>
        <w:pStyle w:val="Bibliography"/>
      </w:pPr>
      <w:r>
        <w:t xml:space="preserve">Santibañez-Leal, Felipe A., Álvaro F. Egaña, Alejandro Ehrenfeld, Felipe Navarro, and Brian Townley. 2022.</w:t>
      </w:r>
      <w:r>
        <w:t xml:space="preserve"> </w:t>
      </w:r>
      <w:r>
        <w:t xml:space="preserve">“Geometallurgical Estimation of Mineral Samples from Hyperspectral Images and Statistical Topic Modelling.”</w:t>
      </w:r>
      <w:r>
        <w:t xml:space="preserve"> </w:t>
      </w:r>
      <w:r>
        <w:rPr>
          <w:i/>
          <w:iCs/>
        </w:rPr>
        <w:t xml:space="preserve">Proceedings of the 18th International Conference on Mineral Processing and Geometallurgy (Procemin Geomet 2022)</w:t>
      </w:r>
      <w:r>
        <w:t xml:space="preserve"> </w:t>
      </w:r>
      <w:r>
        <w:t xml:space="preserve">(Santiago, Chile).</w:t>
      </w:r>
      <w:r>
        <w:t xml:space="preserve"> </w:t>
      </w:r>
      <w:hyperlink r:id="rId150">
        <w:r>
          <w:rPr>
            <w:rStyle w:val="Hyperlink"/>
          </w:rPr>
          <w:t xml:space="preserve">https://www.researchgate.net/publication/369708272</w:t>
        </w:r>
      </w:hyperlink>
      <w:r>
        <w:t xml:space="preserve">.</w:t>
      </w:r>
    </w:p>
    <w:bookmarkEnd w:id="151"/>
    <w:bookmarkStart w:id="153" w:name="ref-santibanezleal2026bandmask"/>
    <w:p>
      <w:pPr>
        <w:pStyle w:val="Bibliography"/>
      </w:pPr>
      <w:r>
        <w:t xml:space="preserve">Santibáñez-Leal, Felipe. 2026.</w:t>
      </w:r>
      <w:r>
        <w:t xml:space="preserve"> </w:t>
      </w:r>
      <w:r>
        <w:rPr>
          <w:i/>
          <w:iCs/>
        </w:rPr>
        <w:t xml:space="preserve">A Band-Mask Robustness Diagnostic for Latent</w:t>
      </w:r>
      <w:r>
        <w:rPr>
          <w:i/>
          <w:iCs/>
        </w:rPr>
        <w:t xml:space="preserve"> </w:t>
      </w:r>
      <w:r>
        <w:rPr>
          <w:i/>
          <w:iCs/>
        </w:rPr>
        <w:t xml:space="preserve">Dirichlet</w:t>
      </w:r>
      <w:r>
        <w:rPr>
          <w:i/>
          <w:iCs/>
        </w:rPr>
        <w:t xml:space="preserve"> </w:t>
      </w:r>
      <w:r>
        <w:rPr>
          <w:i/>
          <w:iCs/>
        </w:rPr>
        <w:t xml:space="preserve">Allocation on Hyperspectral Imagery</w:t>
      </w:r>
      <w:r>
        <w:t xml:space="preserve">. Preprint, Zenodo.</w:t>
      </w:r>
      <w:r>
        <w:t xml:space="preserve"> </w:t>
      </w:r>
      <w:hyperlink r:id="rId152">
        <w:r>
          <w:rPr>
            <w:rStyle w:val="Hyperlink"/>
          </w:rPr>
          <w:t xml:space="preserve">https://doi.org/10.5281/zenodo.21504109</w:t>
        </w:r>
      </w:hyperlink>
      <w:r>
        <w:t xml:space="preserve">.</w:t>
      </w:r>
    </w:p>
    <w:bookmarkEnd w:id="153"/>
    <w:bookmarkStart w:id="155" w:name="ref-scipy_assignment"/>
    <w:p>
      <w:pPr>
        <w:pStyle w:val="Bibliography"/>
      </w:pPr>
      <w:r>
        <w:t xml:space="preserve">SciPy Developers. 2024.</w:t>
      </w:r>
      <w:r>
        <w:t xml:space="preserve"> </w:t>
      </w:r>
      <w:r>
        <w:rPr>
          <w:rStyle w:val="VerbatimChar"/>
          <w:i/>
          <w:iCs/>
        </w:rPr>
        <w:t xml:space="preserve">scipy.optimize.linear_sum_assignment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SciPy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</w:t>
      </w:r>
      <w:r>
        <w:t xml:space="preserve">. Online; SciPy v1.13 reference manual.</w:t>
      </w:r>
      <w:r>
        <w:t xml:space="preserve"> </w:t>
      </w:r>
      <w:hyperlink r:id="rId154">
        <w:r>
          <w:rPr>
            <w:rStyle w:val="Hyperlink"/>
          </w:rPr>
          <w:t xml:space="preserve">https://docs.scipy.org/doc/scipy/reference/generated/scipy.optimize.linear_sum_assignment.html</w:t>
        </w:r>
      </w:hyperlink>
      <w:r>
        <w:t xml:space="preserve">.</w:t>
      </w:r>
    </w:p>
    <w:bookmarkEnd w:id="155"/>
    <w:bookmarkStart w:id="157" w:name="ref-srivastava2017autoencoding"/>
    <w:p>
      <w:pPr>
        <w:pStyle w:val="Bibliography"/>
      </w:pPr>
      <w:r>
        <w:t xml:space="preserve">Srivastava, Akash, and Charles Sutton. 2017.</w:t>
      </w:r>
      <w:r>
        <w:t xml:space="preserve"> </w:t>
      </w:r>
      <w:r>
        <w:t xml:space="preserve">“Autoencoding Variational Inference for Topic Models.”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https://openreview.net/forum?id=BybtVK9lg</w:t>
        </w:r>
      </w:hyperlink>
      <w:r>
        <w:t xml:space="preserve">.</w:t>
      </w:r>
    </w:p>
    <w:bookmarkEnd w:id="157"/>
    <w:bookmarkStart w:id="159" w:name="ref-vehtari2021rhat"/>
    <w:p>
      <w:pPr>
        <w:pStyle w:val="Bibliography"/>
      </w:pPr>
      <w:r>
        <w:t xml:space="preserve">Vehtari, Aki, Andrew Gelman, Daniel Simpson, Bob Carpenter, and Paul-Christian Bürkner. 2021.</w:t>
      </w:r>
      <w:r>
        <w:t xml:space="preserve"> </w:t>
      </w:r>
      <w:r>
        <w:t xml:space="preserve">“Rank-Normalization, Folding, and Localization: An Improved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Assessing Convergence of</w:t>
      </w:r>
      <w:r>
        <w:t xml:space="preserve"> </w:t>
      </w:r>
      <w:r>
        <w:t xml:space="preserve">MCMC</w:t>
      </w:r>
      <w:r>
        <w:t xml:space="preserve"> </w:t>
      </w:r>
      <w:r>
        <w:t xml:space="preserve">(with Discussion).”</w:t>
      </w:r>
      <w:r>
        <w:t xml:space="preserve"> </w:t>
      </w:r>
      <w:r>
        <w:rPr>
          <w:i/>
          <w:iCs/>
        </w:rPr>
        <w:t xml:space="preserve">Bayesian Analysis</w:t>
      </w:r>
      <w:r>
        <w:t xml:space="preserve"> </w:t>
      </w:r>
      <w:r>
        <w:t xml:space="preserve">16 (2): 667–718.</w:t>
      </w:r>
      <w:r>
        <w:t xml:space="preserve"> </w:t>
      </w:r>
      <w:hyperlink r:id="rId158">
        <w:r>
          <w:rPr>
            <w:rStyle w:val="Hyperlink"/>
          </w:rPr>
          <w:t xml:space="preserve">https://doi.org/10.1214/20-BA1221</w:t>
        </w:r>
      </w:hyperlink>
      <w:r>
        <w:t xml:space="preserve">.</w:t>
      </w:r>
    </w:p>
    <w:bookmarkEnd w:id="159"/>
    <w:bookmarkStart w:id="161" w:name="ref-vinh2010information"/>
    <w:p>
      <w:pPr>
        <w:pStyle w:val="Bibliography"/>
      </w:pPr>
      <w:r>
        <w:t xml:space="preserve">Vinh, Nguyen Xuan, Julien Epps, and James Bailey. 2010.</w:t>
      </w:r>
      <w:r>
        <w:t xml:space="preserve"> </w:t>
      </w:r>
      <w:r>
        <w:t xml:space="preserve">“Information Theoretic Measures for Clusterings Comparison: Variants, Properties, Normalization and Correction for Chance.”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11: 2837–54.</w:t>
      </w:r>
      <w:r>
        <w:t xml:space="preserve"> </w:t>
      </w:r>
      <w:hyperlink r:id="rId160">
        <w:r>
          <w:rPr>
            <w:rStyle w:val="Hyperlink"/>
          </w:rPr>
          <w:t xml:space="preserve">https://jmlr.org/papers/v11/vinh10a.html</w:t>
        </w:r>
      </w:hyperlink>
      <w:r>
        <w:t xml:space="preserve">.</w:t>
      </w:r>
    </w:p>
    <w:bookmarkEnd w:id="161"/>
    <w:bookmarkStart w:id="163" w:name="ref-virtanen2020scipy"/>
    <w:p>
      <w:pPr>
        <w:pStyle w:val="Bibliography"/>
      </w:pPr>
      <w:r>
        <w:t xml:space="preserve">Virtanen, Pauli, Ralf Gommers, Travis E. Oliphant,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17 (3): 261–72.</w:t>
      </w:r>
      <w:r>
        <w:t xml:space="preserve"> </w:t>
      </w:r>
      <w:hyperlink r:id="rId162">
        <w:r>
          <w:rPr>
            <w:rStyle w:val="Hyperlink"/>
          </w:rPr>
          <w:t xml:space="preserve">https://doi.org/10.1038/s41592-019-0686-2</w:t>
        </w:r>
      </w:hyperlink>
      <w:r>
        <w:t xml:space="preserve">.</w:t>
      </w:r>
    </w:p>
    <w:bookmarkEnd w:id="163"/>
    <w:bookmarkStart w:id="165" w:name="ref-wahabzada2015plant"/>
    <w:p>
      <w:pPr>
        <w:pStyle w:val="Bibliography"/>
      </w:pPr>
      <w:r>
        <w:t xml:space="preserve">Wahabzada, Mirwaes, Anne-Katrin Mahlein, Christian Bauckhage, Ulrike Steiner, Erich-Christian Oerke, and Kristian Kersting. 2016.</w:t>
      </w:r>
      <w:r>
        <w:t xml:space="preserve"> </w:t>
      </w:r>
      <w:r>
        <w:t xml:space="preserve">“Plant Phenotyping Using Probabilistic Topic Models: Uncovering the Hyperspectral Language of Plants.”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6: 22482.</w:t>
      </w:r>
      <w:r>
        <w:t xml:space="preserve"> </w:t>
      </w:r>
      <w:hyperlink r:id="rId164">
        <w:r>
          <w:rPr>
            <w:rStyle w:val="Hyperlink"/>
          </w:rPr>
          <w:t xml:space="preserve">https://doi.org/10.1038/srep22482</w:t>
        </w:r>
      </w:hyperlink>
      <w:r>
        <w:t xml:space="preserve">.</w:t>
      </w:r>
    </w:p>
    <w:bookmarkEnd w:id="165"/>
    <w:bookmarkStart w:id="167" w:name="ref-zou2017pmlda"/>
    <w:p>
      <w:pPr>
        <w:pStyle w:val="Bibliography"/>
      </w:pPr>
      <w:r>
        <w:t xml:space="preserve">Zou, Sheng, and Alina Zare. 2017.</w:t>
      </w:r>
      <w:r>
        <w:t xml:space="preserve"> </w:t>
      </w:r>
      <w:r>
        <w:t xml:space="preserve">“Hyperspectral Unmixing with Endmember Variability Using Partial Membership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Proc. IEEE Int. Conf. Acoust., Speech, Signal Process. (ICASSP)</w:t>
      </w:r>
      <w:r>
        <w:t xml:space="preserve">, 6200–6204.</w:t>
      </w:r>
      <w:r>
        <w:t xml:space="preserve"> </w:t>
      </w:r>
      <w:hyperlink r:id="rId166">
        <w:r>
          <w:rPr>
            <w:rStyle w:val="Hyperlink"/>
          </w:rPr>
          <w:t xml:space="preserve">https://doi.org/10.1109/ICASSP.2017.7953348</w:t>
        </w:r>
      </w:hyperlink>
      <w:r>
        <w:t xml:space="preserve">.</w:t>
      </w:r>
    </w:p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F. Santibáñez-Leal is with the CAOS open-research</w:t>
      </w:r>
      <w:r>
        <w:t xml:space="preserve"> </w:t>
      </w:r>
      <w:r>
        <w:t xml:space="preserve">programme, Santiago, Chile</w:t>
      </w:r>
      <w:r>
        <w:t xml:space="preserve"> </w:t>
      </w:r>
      <w:r>
        <w:t xml:space="preserve">(e-mail:</w:t>
      </w:r>
      <w:r>
        <w:t xml:space="preserve"> </w:t>
      </w:r>
      <w:r>
        <w:rPr>
          <w:rStyle w:val="VerbatimChar"/>
        </w:rPr>
        <w:t xml:space="preserve">fsantibanezleal@ug.uchile.cl</w:t>
      </w:r>
      <w:r>
        <w:t xml:space="preserve">;</w:t>
      </w:r>
      <w:r>
        <w:t xml:space="preserve"> </w:t>
      </w:r>
      <w:r>
        <w:t xml:space="preserve">ORCID: 0000-0002-0150-3246).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 code, derived artefacts, and the interactive web</w:t>
      </w:r>
      <w:r>
        <w:t xml:space="preserve"> </w:t>
      </w:r>
      <w:r>
        <w:t xml:space="preserve">application are released under MIT at</w:t>
      </w:r>
      <w:r>
        <w:t xml:space="preserve"> </w:t>
      </w:r>
      <w:hyperlink r:id="rId11">
        <w:r>
          <w:rPr>
            <w:rStyle w:val="Hyperlink"/>
          </w:rPr>
          <w:t xml:space="preserve">https://github.com/fsantibanezleal/CAOS_LDA_HSI</w:t>
        </w:r>
      </w:hyperlink>
      <w:r>
        <w:t xml:space="preserve">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work has been partially funded by The Advanced Mining</w:t>
      </w:r>
      <w:r>
        <w:t xml:space="preserve"> </w:t>
      </w:r>
      <w:r>
        <w:t xml:space="preserve">Technology Center (AMTC) Basal project (ANID/PIA Project AFB220002)</w:t>
      </w:r>
      <w:r>
        <w:t xml:space="preserve"> </w:t>
      </w:r>
      <w:r>
        <w:t xml:space="preserve">and ANID FONDECYT Postdoctorado 3220094.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df" /><Relationship Type="http://schemas.openxmlformats.org/officeDocument/2006/relationships/image" Id="rId54" Target="media/rId54.pdf" /><Relationship Type="http://schemas.openxmlformats.org/officeDocument/2006/relationships/image" Id="rId50" Target="media/rId50.pdf" /><Relationship Type="http://schemas.openxmlformats.org/officeDocument/2006/relationships/hyperlink" Id="rId146" Target="http://is.muni.cz/publication/884893/en" TargetMode="External" /><Relationship Type="http://schemas.openxmlformats.org/officeDocument/2006/relationships/hyperlink" Id="rId120" Target="http://proceedings.mlr.press/v48/miao16.html" TargetMode="External" /><Relationship Type="http://schemas.openxmlformats.org/officeDocument/2006/relationships/hyperlink" Id="rId124" Target="https://aclanthology.org/D11-1024/" TargetMode="External" /><Relationship Type="http://schemas.openxmlformats.org/officeDocument/2006/relationships/hyperlink" Id="rId136" Target="https://aclanthology.org/N10-1012/" TargetMode="External" /><Relationship Type="http://schemas.openxmlformats.org/officeDocument/2006/relationships/hyperlink" Id="rId122" Target="https://arxiv.org/abs/1206.3278" TargetMode="External" /><Relationship Type="http://schemas.openxmlformats.org/officeDocument/2006/relationships/hyperlink" Id="rId114" Target="https://arxiv.org/abs/1312.6114" TargetMode="External" /><Relationship Type="http://schemas.openxmlformats.org/officeDocument/2006/relationships/hyperlink" Id="rId154" Target="https://docs.scipy.org/doc/scipy/reference/generated/scipy.optimize.linear_sum_assignment.html" TargetMode="External" /><Relationship Type="http://schemas.openxmlformats.org/officeDocument/2006/relationships/hyperlink" Id="rId118" Target="https://doi.org/10.1002/nav.3800020109" TargetMode="External" /><Relationship Type="http://schemas.openxmlformats.org/officeDocument/2006/relationships/hyperlink" Id="rId102" Target="https://doi.org/10.1007/978-1-4615-3626-0" TargetMode="External" /><Relationship Type="http://schemas.openxmlformats.org/officeDocument/2006/relationships/hyperlink" Id="rId104" Target="https://doi.org/10.1007/978-3-662-44848-9_32" TargetMode="External" /><Relationship Type="http://schemas.openxmlformats.org/officeDocument/2006/relationships/hyperlink" Id="rId112" Target="https://doi.org/10.1007/BF01908075" TargetMode="External" /><Relationship Type="http://schemas.openxmlformats.org/officeDocument/2006/relationships/hyperlink" Id="rId138" Target="https://doi.org/10.1016/j.isprsjprs.2019.09.006" TargetMode="External" /><Relationship Type="http://schemas.openxmlformats.org/officeDocument/2006/relationships/hyperlink" Id="rId144" Target="https://doi.org/10.1016/j.rse.2007.07.028" TargetMode="External" /><Relationship Type="http://schemas.openxmlformats.org/officeDocument/2006/relationships/hyperlink" Id="rId98" Target="https://doi.org/10.1023/B:VISI.0000022288.19776.77" TargetMode="External" /><Relationship Type="http://schemas.openxmlformats.org/officeDocument/2006/relationships/hyperlink" Id="rId106" Target="https://doi.org/10.1038/s41586-020-2649-2" TargetMode="External" /><Relationship Type="http://schemas.openxmlformats.org/officeDocument/2006/relationships/hyperlink" Id="rId162" Target="https://doi.org/10.1038/s41592-019-0686-2" TargetMode="External" /><Relationship Type="http://schemas.openxmlformats.org/officeDocument/2006/relationships/hyperlink" Id="rId96" Target="https://doi.org/10.1038/s41597-023-02061-x" TargetMode="External" /><Relationship Type="http://schemas.openxmlformats.org/officeDocument/2006/relationships/hyperlink" Id="rId164" Target="https://doi.org/10.1038/srep22482" TargetMode="External" /><Relationship Type="http://schemas.openxmlformats.org/officeDocument/2006/relationships/hyperlink" Id="rId166" Target="https://doi.org/10.1109/ICASSP.2017.7953348" TargetMode="External" /><Relationship Type="http://schemas.openxmlformats.org/officeDocument/2006/relationships/hyperlink" Id="rId80" Target="https://doi.org/10.1109/JSTARS.2012.2194696" TargetMode="External" /><Relationship Type="http://schemas.openxmlformats.org/officeDocument/2006/relationships/hyperlink" Id="rId90" Target="https://doi.org/10.1109/JSTARS.2014.2329330" TargetMode="External" /><Relationship Type="http://schemas.openxmlformats.org/officeDocument/2006/relationships/hyperlink" Id="rId84" Target="https://doi.org/10.1109/MGRS.2021.3071158" TargetMode="External" /><Relationship Type="http://schemas.openxmlformats.org/officeDocument/2006/relationships/hyperlink" Id="rId86" Target="https://doi.org/10.1109/MSP.2013.2279179" TargetMode="External" /><Relationship Type="http://schemas.openxmlformats.org/officeDocument/2006/relationships/hyperlink" Id="rId134" Target="https://doi.org/10.1109/TGRS.2005.844293" TargetMode="External" /><Relationship Type="http://schemas.openxmlformats.org/officeDocument/2006/relationships/hyperlink" Id="rId76" Target="https://doi.org/10.1109/TPAMI.2012.120" TargetMode="External" /><Relationship Type="http://schemas.openxmlformats.org/officeDocument/2006/relationships/hyperlink" Id="rId126" Target="https://doi.org/10.1137/0105003" TargetMode="External" /><Relationship Type="http://schemas.openxmlformats.org/officeDocument/2006/relationships/hyperlink" Id="rId148" Target="https://doi.org/10.1145/2684822.2685324" TargetMode="External" /><Relationship Type="http://schemas.openxmlformats.org/officeDocument/2006/relationships/hyperlink" Id="rId92" Target="https://doi.org/10.1162/tacl_a_00325" TargetMode="External" /><Relationship Type="http://schemas.openxmlformats.org/officeDocument/2006/relationships/hyperlink" Id="rId158" Target="https://doi.org/10.1214/20-BA1221" TargetMode="External" /><Relationship Type="http://schemas.openxmlformats.org/officeDocument/2006/relationships/hyperlink" Id="rId88" Target="https://doi.org/10.18653/v1/P18-1189" TargetMode="External" /><Relationship Type="http://schemas.openxmlformats.org/officeDocument/2006/relationships/hyperlink" Id="rId116" Target="https://doi.org/10.3133/ds1035" TargetMode="External" /><Relationship Type="http://schemas.openxmlformats.org/officeDocument/2006/relationships/hyperlink" Id="rId78" Target="https://doi.org/10.4231/R7RX991C" TargetMode="External" /><Relationship Type="http://schemas.openxmlformats.org/officeDocument/2006/relationships/hyperlink" Id="rId152" Target="https://doi.org/10.5281/zenodo.21504109" TargetMode="External" /><Relationship Type="http://schemas.openxmlformats.org/officeDocument/2006/relationships/hyperlink" Id="rId94" Target="https://doi.org/10.6084/m9.figshare.c.5983921.v1" TargetMode="External" /><Relationship Type="http://schemas.openxmlformats.org/officeDocument/2006/relationships/hyperlink" Id="rId11" Target="https://github.com/fsantibanezleal/CAOS_LDA_HSI" TargetMode="External" /><Relationship Type="http://schemas.openxmlformats.org/officeDocument/2006/relationships/hyperlink" Id="rId75" Target="https://github.com/fsantibanezleal/CAOS_LDA_HSI_Paper" TargetMode="External" /><Relationship Type="http://schemas.openxmlformats.org/officeDocument/2006/relationships/hyperlink" Id="rId160" Target="https://jmlr.org/papers/v11/vinh10a.html" TargetMode="External" /><Relationship Type="http://schemas.openxmlformats.org/officeDocument/2006/relationships/hyperlink" Id="rId140" Target="https://jmlr.org/papers/v12/pedregosa11a.html" TargetMode="External" /><Relationship Type="http://schemas.openxmlformats.org/officeDocument/2006/relationships/hyperlink" Id="rId142" Target="https://jmlr.org/papers/v22/20-303.html" TargetMode="External" /><Relationship Type="http://schemas.openxmlformats.org/officeDocument/2006/relationships/hyperlink" Id="rId82" Target="https://jmlr.org/papers/v3/blei03a.html" TargetMode="External" /><Relationship Type="http://schemas.openxmlformats.org/officeDocument/2006/relationships/hyperlink" Id="rId70" Target="https://lda-hsi.fasl-work.com" TargetMode="External" /><Relationship Type="http://schemas.openxmlformats.org/officeDocument/2006/relationships/hyperlink" Id="rId156" Target="https://openreview.net/forum?id=BybtVK9lg" TargetMode="External" /><Relationship Type="http://schemas.openxmlformats.org/officeDocument/2006/relationships/hyperlink" Id="rId108" Target="https://openreview.net/forum?id=Sy2fzU9gl" TargetMode="External" /><Relationship Type="http://schemas.openxmlformats.org/officeDocument/2006/relationships/hyperlink" Id="rId110" Target="https://papers.nips.cc/paper/3902-online-learning-for-latent-dirichlet-allocation" TargetMode="External" /><Relationship Type="http://schemas.openxmlformats.org/officeDocument/2006/relationships/hyperlink" Id="rId128" Target="https://www.ehu.eus/ccwintco/index.php/Hyperspectral_Remote_Sensing_Scenes#Botswana" TargetMode="External" /><Relationship Type="http://schemas.openxmlformats.org/officeDocument/2006/relationships/hyperlink" Id="rId130" Target="https://www.ehu.eus/ccwintco/index.php/Hyperspectral_Remote_Sensing_Scenes#Kennedy_Space_Center_.28KSC.29" TargetMode="External" /><Relationship Type="http://schemas.openxmlformats.org/officeDocument/2006/relationships/hyperlink" Id="rId100" Target="https://www.ehu.eus/ccwintco/index.php/Hyperspectral_Remote_Sensing_Scenes#Pavia_University_scene" TargetMode="External" /><Relationship Type="http://schemas.openxmlformats.org/officeDocument/2006/relationships/hyperlink" Id="rId132" Target="https://www.ehu.eus/ccwintco/index.php/Hyperspectral_Remote_Sensing_Scenes#Salinas_scene" TargetMode="External" /><Relationship Type="http://schemas.openxmlformats.org/officeDocument/2006/relationships/hyperlink" Id="rId150" Target="https://www.researchgate.net/publication/3697082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http://is.muni.cz/publication/884893/en" TargetMode="External" /><Relationship Type="http://schemas.openxmlformats.org/officeDocument/2006/relationships/hyperlink" Id="rId120" Target="http://proceedings.mlr.press/v48/miao16.html" TargetMode="External" /><Relationship Type="http://schemas.openxmlformats.org/officeDocument/2006/relationships/hyperlink" Id="rId124" Target="https://aclanthology.org/D11-1024/" TargetMode="External" /><Relationship Type="http://schemas.openxmlformats.org/officeDocument/2006/relationships/hyperlink" Id="rId136" Target="https://aclanthology.org/N10-1012/" TargetMode="External" /><Relationship Type="http://schemas.openxmlformats.org/officeDocument/2006/relationships/hyperlink" Id="rId122" Target="https://arxiv.org/abs/1206.3278" TargetMode="External" /><Relationship Type="http://schemas.openxmlformats.org/officeDocument/2006/relationships/hyperlink" Id="rId114" Target="https://arxiv.org/abs/1312.6114" TargetMode="External" /><Relationship Type="http://schemas.openxmlformats.org/officeDocument/2006/relationships/hyperlink" Id="rId154" Target="https://docs.scipy.org/doc/scipy/reference/generated/scipy.optimize.linear_sum_assignment.html" TargetMode="External" /><Relationship Type="http://schemas.openxmlformats.org/officeDocument/2006/relationships/hyperlink" Id="rId118" Target="https://doi.org/10.1002/nav.3800020109" TargetMode="External" /><Relationship Type="http://schemas.openxmlformats.org/officeDocument/2006/relationships/hyperlink" Id="rId102" Target="https://doi.org/10.1007/978-1-4615-3626-0" TargetMode="External" /><Relationship Type="http://schemas.openxmlformats.org/officeDocument/2006/relationships/hyperlink" Id="rId104" Target="https://doi.org/10.1007/978-3-662-44848-9_32" TargetMode="External" /><Relationship Type="http://schemas.openxmlformats.org/officeDocument/2006/relationships/hyperlink" Id="rId112" Target="https://doi.org/10.1007/BF01908075" TargetMode="External" /><Relationship Type="http://schemas.openxmlformats.org/officeDocument/2006/relationships/hyperlink" Id="rId138" Target="https://doi.org/10.1016/j.isprsjprs.2019.09.006" TargetMode="External" /><Relationship Type="http://schemas.openxmlformats.org/officeDocument/2006/relationships/hyperlink" Id="rId144" Target="https://doi.org/10.1016/j.rse.2007.07.028" TargetMode="External" /><Relationship Type="http://schemas.openxmlformats.org/officeDocument/2006/relationships/hyperlink" Id="rId98" Target="https://doi.org/10.1023/B:VISI.0000022288.19776.77" TargetMode="External" /><Relationship Type="http://schemas.openxmlformats.org/officeDocument/2006/relationships/hyperlink" Id="rId106" Target="https://doi.org/10.1038/s41586-020-2649-2" TargetMode="External" /><Relationship Type="http://schemas.openxmlformats.org/officeDocument/2006/relationships/hyperlink" Id="rId162" Target="https://doi.org/10.1038/s41592-019-0686-2" TargetMode="External" /><Relationship Type="http://schemas.openxmlformats.org/officeDocument/2006/relationships/hyperlink" Id="rId96" Target="https://doi.org/10.1038/s41597-023-02061-x" TargetMode="External" /><Relationship Type="http://schemas.openxmlformats.org/officeDocument/2006/relationships/hyperlink" Id="rId164" Target="https://doi.org/10.1038/srep22482" TargetMode="External" /><Relationship Type="http://schemas.openxmlformats.org/officeDocument/2006/relationships/hyperlink" Id="rId166" Target="https://doi.org/10.1109/ICASSP.2017.7953348" TargetMode="External" /><Relationship Type="http://schemas.openxmlformats.org/officeDocument/2006/relationships/hyperlink" Id="rId80" Target="https://doi.org/10.1109/JSTARS.2012.2194696" TargetMode="External" /><Relationship Type="http://schemas.openxmlformats.org/officeDocument/2006/relationships/hyperlink" Id="rId90" Target="https://doi.org/10.1109/JSTARS.2014.2329330" TargetMode="External" /><Relationship Type="http://schemas.openxmlformats.org/officeDocument/2006/relationships/hyperlink" Id="rId84" Target="https://doi.org/10.1109/MGRS.2021.3071158" TargetMode="External" /><Relationship Type="http://schemas.openxmlformats.org/officeDocument/2006/relationships/hyperlink" Id="rId86" Target="https://doi.org/10.1109/MSP.2013.2279179" TargetMode="External" /><Relationship Type="http://schemas.openxmlformats.org/officeDocument/2006/relationships/hyperlink" Id="rId134" Target="https://doi.org/10.1109/TGRS.2005.844293" TargetMode="External" /><Relationship Type="http://schemas.openxmlformats.org/officeDocument/2006/relationships/hyperlink" Id="rId76" Target="https://doi.org/10.1109/TPAMI.2012.120" TargetMode="External" /><Relationship Type="http://schemas.openxmlformats.org/officeDocument/2006/relationships/hyperlink" Id="rId126" Target="https://doi.org/10.1137/0105003" TargetMode="External" /><Relationship Type="http://schemas.openxmlformats.org/officeDocument/2006/relationships/hyperlink" Id="rId148" Target="https://doi.org/10.1145/2684822.2685324" TargetMode="External" /><Relationship Type="http://schemas.openxmlformats.org/officeDocument/2006/relationships/hyperlink" Id="rId92" Target="https://doi.org/10.1162/tacl_a_00325" TargetMode="External" /><Relationship Type="http://schemas.openxmlformats.org/officeDocument/2006/relationships/hyperlink" Id="rId158" Target="https://doi.org/10.1214/20-BA1221" TargetMode="External" /><Relationship Type="http://schemas.openxmlformats.org/officeDocument/2006/relationships/hyperlink" Id="rId88" Target="https://doi.org/10.18653/v1/P18-1189" TargetMode="External" /><Relationship Type="http://schemas.openxmlformats.org/officeDocument/2006/relationships/hyperlink" Id="rId116" Target="https://doi.org/10.3133/ds1035" TargetMode="External" /><Relationship Type="http://schemas.openxmlformats.org/officeDocument/2006/relationships/hyperlink" Id="rId78" Target="https://doi.org/10.4231/R7RX991C" TargetMode="External" /><Relationship Type="http://schemas.openxmlformats.org/officeDocument/2006/relationships/hyperlink" Id="rId152" Target="https://doi.org/10.5281/zenodo.21504109" TargetMode="External" /><Relationship Type="http://schemas.openxmlformats.org/officeDocument/2006/relationships/hyperlink" Id="rId94" Target="https://doi.org/10.6084/m9.figshare.c.5983921.v1" TargetMode="External" /><Relationship Type="http://schemas.openxmlformats.org/officeDocument/2006/relationships/hyperlink" Id="rId11" Target="https://github.com/fsantibanezleal/CAOS_LDA_HSI" TargetMode="External" /><Relationship Type="http://schemas.openxmlformats.org/officeDocument/2006/relationships/hyperlink" Id="rId75" Target="https://github.com/fsantibanezleal/CAOS_LDA_HSI_Paper" TargetMode="External" /><Relationship Type="http://schemas.openxmlformats.org/officeDocument/2006/relationships/hyperlink" Id="rId160" Target="https://jmlr.org/papers/v11/vinh10a.html" TargetMode="External" /><Relationship Type="http://schemas.openxmlformats.org/officeDocument/2006/relationships/hyperlink" Id="rId140" Target="https://jmlr.org/papers/v12/pedregosa11a.html" TargetMode="External" /><Relationship Type="http://schemas.openxmlformats.org/officeDocument/2006/relationships/hyperlink" Id="rId142" Target="https://jmlr.org/papers/v22/20-303.html" TargetMode="External" /><Relationship Type="http://schemas.openxmlformats.org/officeDocument/2006/relationships/hyperlink" Id="rId82" Target="https://jmlr.org/papers/v3/blei03a.html" TargetMode="External" /><Relationship Type="http://schemas.openxmlformats.org/officeDocument/2006/relationships/hyperlink" Id="rId70" Target="https://lda-hsi.fasl-work.com" TargetMode="External" /><Relationship Type="http://schemas.openxmlformats.org/officeDocument/2006/relationships/hyperlink" Id="rId156" Target="https://openreview.net/forum?id=BybtVK9lg" TargetMode="External" /><Relationship Type="http://schemas.openxmlformats.org/officeDocument/2006/relationships/hyperlink" Id="rId108" Target="https://openreview.net/forum?id=Sy2fzU9gl" TargetMode="External" /><Relationship Type="http://schemas.openxmlformats.org/officeDocument/2006/relationships/hyperlink" Id="rId110" Target="https://papers.nips.cc/paper/3902-online-learning-for-latent-dirichlet-allocation" TargetMode="External" /><Relationship Type="http://schemas.openxmlformats.org/officeDocument/2006/relationships/hyperlink" Id="rId128" Target="https://www.ehu.eus/ccwintco/index.php/Hyperspectral_Remote_Sensing_Scenes#Botswana" TargetMode="External" /><Relationship Type="http://schemas.openxmlformats.org/officeDocument/2006/relationships/hyperlink" Id="rId130" Target="https://www.ehu.eus/ccwintco/index.php/Hyperspectral_Remote_Sensing_Scenes#Kennedy_Space_Center_.28KSC.29" TargetMode="External" /><Relationship Type="http://schemas.openxmlformats.org/officeDocument/2006/relationships/hyperlink" Id="rId100" Target="https://www.ehu.eus/ccwintco/index.php/Hyperspectral_Remote_Sensing_Scenes#Pavia_University_scene" TargetMode="External" /><Relationship Type="http://schemas.openxmlformats.org/officeDocument/2006/relationships/hyperlink" Id="rId132" Target="https://www.ehu.eus/ccwintco/index.php/Hyperspectral_Remote_Sensing_Scenes#Salinas_scene" TargetMode="External" /><Relationship Type="http://schemas.openxmlformats.org/officeDocument/2006/relationships/hyperlink" Id="rId150" Target="https://www.researchgate.net/publication/3697082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Accuracy: A Multi-Axis Evaluation Framework for Interpretable Topic Models on Hyperspectral Imagery</dc:title>
  <dc:creator>Felipe Santibáñez-Leal ,    </dc:creator>
  <cp:keywords/>
  <dcterms:created xsi:type="dcterms:W3CDTF">2026-09-18T08:19:37Z</dcterms:created>
  <dcterms:modified xsi:type="dcterms:W3CDTF">2026-09-18T08:19:37Z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