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ServizioByIDAlreadyPresentInNewCollection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09"/>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LibreOffice/6.3.5.2$Linux_X86_64 LibreOffice_project/30$Build-2</Application>
  <Pages>9</Pages>
  <Words>2164</Words>
  <Characters>11769</Characters>
  <CharactersWithSpaces>13649</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2020-04-19T22:41:14Z</dcterms:modified>
  <cp:revision>37</cp:revision>
  <dc:subject/>
  <dc:title/>
</cp:coreProperties>
</file>