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before="0" w:line="276"/>
      </w:pPr>
      <w:r>
        <w:rPr>
          <w:rFonts w:ascii="Calibri" w:cs="Calibri" w:eastAsia="Calibri" w:hAnsi="Calibri"/>
          <w:b/>
          <w:bCs/>
          <w:color w:val="10233F"/>
          <w:sz w:val="72"/>
          <w:szCs w:val="72"/>
        </w:rPr>
        <w:t xml:space="preserve">EZvoxa</w:t>
      </w:r>
    </w:p>
    <w:p>
      <w:pPr>
        <w:spacing w:after="40" w:before="0" w:line="276"/>
      </w:pPr>
      <w:r>
        <w:rPr>
          <w:rFonts w:ascii="Calibri" w:cs="Calibri" w:eastAsia="Calibri" w:hAnsi="Calibri"/>
          <w:color w:val="44506A"/>
          <w:sz w:val="34"/>
          <w:szCs w:val="34"/>
        </w:rPr>
        <w:t xml:space="preserve">Business and product handoff</w:t>
      </w:r>
    </w:p>
    <w:p>
      <w:pPr>
        <w:pBdr>
          <w:bottom w:val="single" w:color="C3CBDA" w:sz="6" w:space="6"/>
        </w:pBdr>
        <w:spacing w:after="260" w:before="0" w:line="276"/>
      </w:pPr>
      <w:r>
        <w:rPr>
          <w:rFonts w:ascii="Calibri" w:cs="Calibri" w:eastAsia="Calibri" w:hAnsi="Calibri"/>
          <w:i/>
          <w:iCs/>
          <w:color w:val="44506A"/>
          <w:sz w:val="22"/>
          <w:szCs w:val="22"/>
        </w:rPr>
        <w:t xml:space="preserve">Everything needed to build a financial model, and nothing that was modeled before.</w:t>
      </w:r>
    </w:p>
    <w:p>
      <w:pPr>
        <w:spacing w:after="400" w:before="0" w:line="276"/>
      </w:pPr>
      <w:r>
        <w:rPr>
          <w:rFonts w:ascii="Calibri" w:cs="Calibri" w:eastAsia="Calibri" w:hAnsi="Calibri"/>
          <w:color w:val="44506A"/>
          <w:sz w:val="21"/>
          <w:szCs w:val="21"/>
        </w:rPr>
        <w:t xml:space="preserve">EZ Voice LLC</w:t>
      </w:r>
      <w:r>
        <w:rPr>
          <w:rFonts w:ascii="Calibri" w:cs="Calibri" w:eastAsia="Calibri" w:hAnsi="Calibri"/>
          <w:color w:val="44506A"/>
          <w:sz w:val="21"/>
          <w:szCs w:val="21"/>
        </w:rPr>
        <w:t xml:space="preserve">  ·  </w:t>
      </w:r>
      <w:r>
        <w:rPr>
          <w:rFonts w:ascii="Calibri" w:cs="Calibri" w:eastAsia="Calibri" w:hAnsi="Calibri"/>
          <w:color w:val="44506A"/>
          <w:sz w:val="21"/>
          <w:szCs w:val="21"/>
        </w:rPr>
        <w:t xml:space="preserve">Florida</w:t>
      </w:r>
      <w:r>
        <w:rPr>
          <w:rFonts w:ascii="Calibri" w:cs="Calibri" w:eastAsia="Calibri" w:hAnsi="Calibri"/>
          <w:color w:val="44506A"/>
          <w:sz w:val="21"/>
          <w:szCs w:val="21"/>
        </w:rPr>
        <w:t xml:space="preserve">  ·  </w:t>
      </w:r>
      <w:r>
        <w:rPr>
          <w:rFonts w:ascii="Calibri" w:cs="Calibri" w:eastAsia="Calibri" w:hAnsi="Calibri"/>
          <w:color w:val="44506A"/>
          <w:sz w:val="21"/>
          <w:szCs w:val="21"/>
        </w:rPr>
        <w:t xml:space="preserve">Prepared 10 September 2026</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10233F" w:sz="18"/>
              <w:bottom w:val="none"/>
              <w:right w:val="none"/>
            </w:tcBorders>
            <w:shd w:fill="EEF2F8" w:color="auto" w:val="clear"/>
            <w:tcMar>
              <w:top w:type="dxa" w:w="160"/>
              <w:left w:type="dxa" w:w="200"/>
              <w:bottom w:type="dxa" w:w="160"/>
              <w:right w:type="dxa" w:w="200"/>
            </w:tcMar>
          </w:tcPr>
          <w:p>
            <w:pPr>
              <w:spacing w:after="100" w:before="0" w:line="276"/>
            </w:pPr>
            <w:r>
              <w:rPr>
                <w:rFonts w:ascii="Calibri" w:cs="Calibri" w:eastAsia="Calibri" w:hAnsi="Calibri"/>
                <w:color w:val="25304A"/>
                <w:sz w:val="20"/>
                <w:szCs w:val="20"/>
              </w:rPr>
              <w:t xml:space="preserve">This document deliberately contains no revenue forecast, no five-year ramp, and no projected net figure. Every prior projection has been left out at the owner’s instruction.</w:t>
            </w:r>
          </w:p>
          <w:p>
            <w:pPr>
              <w:spacing w:after="0" w:before="0" w:line="276"/>
            </w:pPr>
            <w:r>
              <w:rPr>
                <w:rFonts w:ascii="Calibri" w:cs="Calibri" w:eastAsia="Calibri" w:hAnsi="Calibri"/>
                <w:color w:val="25304A"/>
                <w:sz w:val="20"/>
                <w:szCs w:val="20"/>
              </w:rPr>
              <w:t xml:space="preserve">What it contains instead is the raw material: the product as built, where development actually stands, how money would be collected on each channel, the working prices, every known cost, the counted market and how it was counted, the competition, and a closing list of the inputs a modeler still has to choose.</w:t>
            </w:r>
          </w:p>
        </w:tc>
      </w:tr>
    </w:tbl>
    <w:p>
      <w:pPr>
        <w:spacing w:after="200"/>
      </w:pP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8A4B00" w:sz="18"/>
              <w:bottom w:val="none"/>
              <w:right w:val="none"/>
            </w:tcBorders>
            <w:shd w:fill="FDF6EC" w:color="auto" w:val="clear"/>
            <w:tcMar>
              <w:top w:type="dxa" w:w="160"/>
              <w:left w:type="dxa" w:w="200"/>
              <w:bottom w:type="dxa" w:w="160"/>
              <w:right w:type="dxa" w:w="200"/>
            </w:tcMar>
          </w:tcPr>
          <w:p>
            <w:pPr>
              <w:spacing w:after="0" w:before="0" w:line="276"/>
            </w:pPr>
            <w:r>
              <w:rPr>
                <w:rFonts w:ascii="Calibri" w:cs="Calibri" w:eastAsia="Calibri" w:hAnsi="Calibri"/>
                <w:color w:val="5A3A08"/>
                <w:sz w:val="20"/>
                <w:szCs w:val="20"/>
              </w:rPr>
              <w:t xml:space="preserve">Sourcing rule used throughout. A figure is marked VERIFIED only when it was read from the entity’s own page: the company’s own documentation or pricing page, a government body, a standards body, a court, or research hosted by the National Institutes of Health. Anything from Frank’s own working documents is marked DOCUMENT. Anything with no source is marked ASSUMPTION and names who assumed it. Forums, blogs, community threads, aggregators and search-engine summaries are not sources and were rejected wherever they appeared.</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1. How to read this</w:t>
      </w:r>
    </w:p>
    <w:p>
      <w:pPr>
        <w:spacing w:after="140" w:before="0" w:line="276"/>
      </w:pPr>
      <w:r>
        <w:rPr>
          <w:rFonts w:ascii="Calibri" w:cs="Calibri" w:eastAsia="Calibri" w:hAnsi="Calibri"/>
          <w:color w:val="1B2333"/>
          <w:sz w:val="21"/>
          <w:szCs w:val="21"/>
        </w:rPr>
        <w:t xml:space="preserve">There are four things a modeler needs and this document is organized around them.</w:t>
      </w:r>
    </w:p>
    <w:p>
      <w:pPr>
        <w:pStyle w:val="ListParagraph"/>
        <w:numPr>
          <w:ilvl w:val="0"/>
          <w:numId w:val="2"/>
        </w:numPr>
        <w:spacing w:after="90" w:line="276"/>
      </w:pPr>
      <w:r>
        <w:rPr>
          <w:rFonts w:ascii="Calibri" w:cs="Calibri" w:eastAsia="Calibri" w:hAnsi="Calibri"/>
          <w:color w:val="1B2333"/>
          <w:sz w:val="21"/>
          <w:szCs w:val="21"/>
        </w:rPr>
        <w:t xml:space="preserve">What is being sold, to whom, and through which channel. Sections 3 to 7.</w:t>
      </w:r>
    </w:p>
    <w:p>
      <w:pPr>
        <w:pStyle w:val="ListParagraph"/>
        <w:numPr>
          <w:ilvl w:val="0"/>
          <w:numId w:val="2"/>
        </w:numPr>
        <w:spacing w:after="90" w:line="276"/>
      </w:pPr>
      <w:r>
        <w:rPr>
          <w:rFonts w:ascii="Calibri" w:cs="Calibri" w:eastAsia="Calibri" w:hAnsi="Calibri"/>
          <w:color w:val="1B2333"/>
          <w:sz w:val="21"/>
          <w:szCs w:val="21"/>
        </w:rPr>
        <w:t xml:space="preserve">What each channel charges and keeps. Sections 6 and 7.</w:t>
      </w:r>
    </w:p>
    <w:p>
      <w:pPr>
        <w:pStyle w:val="ListParagraph"/>
        <w:numPr>
          <w:ilvl w:val="0"/>
          <w:numId w:val="2"/>
        </w:numPr>
        <w:spacing w:after="90" w:line="276"/>
      </w:pPr>
      <w:r>
        <w:rPr>
          <w:rFonts w:ascii="Calibri" w:cs="Calibri" w:eastAsia="Calibri" w:hAnsi="Calibri"/>
          <w:color w:val="1B2333"/>
          <w:sz w:val="21"/>
          <w:szCs w:val="21"/>
        </w:rPr>
        <w:t xml:space="preserve">How many people could buy it. Sections 8 and 9.</w:t>
      </w:r>
    </w:p>
    <w:p>
      <w:pPr>
        <w:pStyle w:val="ListParagraph"/>
        <w:numPr>
          <w:ilvl w:val="0"/>
          <w:numId w:val="2"/>
        </w:numPr>
        <w:spacing w:after="90" w:line="276"/>
      </w:pPr>
      <w:r>
        <w:rPr>
          <w:rFonts w:ascii="Calibri" w:cs="Calibri" w:eastAsia="Calibri" w:hAnsi="Calibri"/>
          <w:color w:val="1B2333"/>
          <w:sz w:val="21"/>
          <w:szCs w:val="21"/>
        </w:rPr>
        <w:t xml:space="preserve">What it costs to run and to sell. Sections 12 and 13.</w:t>
      </w:r>
    </w:p>
    <w:p>
      <w:pPr>
        <w:spacing w:after="140" w:before="60" w:line="276"/>
      </w:pPr>
      <w:r>
        <w:rPr>
          <w:rFonts w:ascii="Calibri" w:cs="Calibri" w:eastAsia="Calibri" w:hAnsi="Calibri"/>
          <w:color w:val="1B2333"/>
          <w:sz w:val="21"/>
          <w:szCs w:val="21"/>
        </w:rPr>
        <w:t xml:space="preserve">Section 14 is the one to read last and argue about first. It lists every input that nobody has data for. Those inputs, not the arithmetic, decide the answer.</w:t>
      </w:r>
    </w:p>
    <w:p>
      <w:pPr>
        <w:pStyle w:val="Heading3"/>
        <w:spacing w:after="90" w:before="200"/>
      </w:pPr>
      <w:r>
        <w:rPr>
          <w:rFonts w:ascii="Calibri" w:cs="Calibri" w:eastAsia="Calibri" w:hAnsi="Calibri"/>
          <w:b/>
          <w:bCs/>
          <w:color w:val="44506A"/>
          <w:sz w:val="21"/>
          <w:szCs w:val="21"/>
        </w:rPr>
        <w:t xml:space="preserve">A note on prices</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8A4B00" w:sz="18"/>
              <w:bottom w:val="none"/>
              <w:right w:val="none"/>
            </w:tcBorders>
            <w:shd w:fill="FDF6EC" w:color="auto" w:val="clear"/>
            <w:tcMar>
              <w:top w:type="dxa" w:w="160"/>
              <w:left w:type="dxa" w:w="200"/>
              <w:bottom w:type="dxa" w:w="160"/>
              <w:right w:type="dxa" w:w="200"/>
            </w:tcMar>
          </w:tcPr>
          <w:p>
            <w:pPr>
              <w:spacing w:after="0" w:before="0" w:line="276"/>
            </w:pPr>
            <w:r>
              <w:rPr>
                <w:rFonts w:ascii="Calibri" w:cs="Calibri" w:eastAsia="Calibri" w:hAnsi="Calibri"/>
                <w:color w:val="5A3A08"/>
                <w:sz w:val="20"/>
                <w:szCs w:val="20"/>
              </w:rPr>
              <w:t xml:space="preserve">The prices in section 6 are working numbers from the owner’s planning document. They are NOT confirmed and nothing has ever been sold at them. They are printed here because a model cannot be built without a price, and they should be treated as one of the inputs to argue about, not as a decision already made. Do not publish or quote them.</w:t>
            </w:r>
          </w:p>
        </w:tc>
      </w:tr>
    </w:tbl>
    <w:p>
      <w:pPr>
        <w:pStyle w:val="Heading1"/>
        <w:pBdr>
          <w:bottom w:val="single" w:color="10233F" w:sz="12" w:space="6"/>
        </w:pBdr>
        <w:spacing w:after="160" w:before="360"/>
      </w:pPr>
      <w:r>
        <w:rPr>
          <w:rFonts w:ascii="Calibri" w:cs="Calibri" w:eastAsia="Calibri" w:hAnsi="Calibri"/>
          <w:b/>
          <w:bCs/>
          <w:color w:val="10233F"/>
          <w:sz w:val="30"/>
          <w:szCs w:val="30"/>
        </w:rPr>
        <w:t xml:space="preserve">2. The company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3"/>
        <w:gridCol w:w="6135"/>
        <w:gridCol w:w="2192"/>
      </w:tblGrid>
      <w:tr>
        <w:trPr>
          <w:tblHeader/>
        </w:trPr>
        <w:tc>
          <w:tcPr>
            <w:tcW w:type="dxa" w:w="175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Item</w:t>
            </w:r>
          </w:p>
        </w:tc>
        <w:tc>
          <w:tcPr>
            <w:tcW w:type="dxa" w:w="6135"/>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Status</w:t>
            </w:r>
          </w:p>
        </w:tc>
        <w:tc>
          <w:tcPr>
            <w:tcW w:type="dxa" w:w="2192"/>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Source</w:t>
            </w:r>
          </w:p>
        </w:tc>
      </w:tr>
      <w:tr>
        <w:tc>
          <w:tcPr>
            <w:tcW w:type="dxa" w:w="175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Legal entity</w:t>
            </w:r>
          </w:p>
        </w:tc>
        <w:tc>
          <w:tcPr>
            <w:tcW w:type="dxa" w:w="613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EZ Voice LLC, Florida. Has an EIN. Frank Schaeffer is sole owner and signer.</w:t>
            </w:r>
          </w:p>
        </w:tc>
        <w:tc>
          <w:tcPr>
            <w:tcW w:type="dxa" w:w="219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Company record</w:t>
            </w:r>
          </w:p>
        </w:tc>
      </w:tr>
      <w:tr>
        <w:tc>
          <w:tcPr>
            <w:tcW w:type="dxa" w:w="175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Formation date, document number, registered agent, EIN digits</w:t>
            </w:r>
          </w:p>
        </w:tc>
        <w:tc>
          <w:tcPr>
            <w:tcW w:type="dxa" w:w="613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Not recorded anywhere in the working files.</w:t>
            </w:r>
          </w:p>
        </w:tc>
        <w:tc>
          <w:tcPr>
            <w:tcW w:type="dxa" w:w="219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Gap</w:t>
            </w:r>
          </w:p>
        </w:tc>
      </w:tr>
      <w:tr>
        <w:tc>
          <w:tcPr>
            <w:tcW w:type="dxa" w:w="175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Business bank account</w:t>
            </w:r>
          </w:p>
        </w:tc>
        <w:tc>
          <w:tcPr>
            <w:tcW w:type="dxa" w:w="613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Opened 4 September 2026. Holds $200.</w:t>
            </w:r>
          </w:p>
        </w:tc>
        <w:tc>
          <w:tcPr>
            <w:tcW w:type="dxa" w:w="219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Owner, 10 September 2026</w:t>
            </w:r>
          </w:p>
        </w:tc>
      </w:tr>
      <w:tr>
        <w:tc>
          <w:tcPr>
            <w:tcW w:type="dxa" w:w="175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D-U-N-S number</w:t>
            </w:r>
          </w:p>
        </w:tc>
        <w:tc>
          <w:tcPr>
            <w:tcW w:type="dxa" w:w="613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Issued 1 September 2026 by Dun and Bradstreet. Required for the Google Play organization account and matched by Apple against the D&amp;B record, so the legal-name spelling must match everywhere.</w:t>
            </w:r>
          </w:p>
        </w:tc>
        <w:tc>
          <w:tcPr>
            <w:tcW w:type="dxa" w:w="219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D&amp;B email</w:t>
            </w:r>
          </w:p>
        </w:tc>
      </w:tr>
      <w:tr>
        <w:tc>
          <w:tcPr>
            <w:tcW w:type="dxa" w:w="175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Insurance, accounting, legal, tax preparation</w:t>
            </w:r>
          </w:p>
        </w:tc>
        <w:tc>
          <w:tcPr>
            <w:tcW w:type="dxa" w:w="613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None recorded. No cost figure exists for any of them.</w:t>
            </w:r>
          </w:p>
        </w:tc>
        <w:tc>
          <w:tcPr>
            <w:tcW w:type="dxa" w:w="219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Gap</w:t>
            </w:r>
          </w:p>
        </w:tc>
      </w:tr>
      <w:tr>
        <w:tc>
          <w:tcPr>
            <w:tcW w:type="dxa" w:w="175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Money spent to date</w:t>
            </w:r>
          </w:p>
        </w:tc>
        <w:tc>
          <w:tcPr>
            <w:tcW w:type="dxa" w:w="613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 invoice, receipt or paid amount is recorded anywhere in the working files.</w:t>
            </w:r>
          </w:p>
        </w:tc>
        <w:tc>
          <w:tcPr>
            <w:tcW w:type="dxa" w:w="219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Gap</w:t>
            </w:r>
          </w:p>
        </w:tc>
      </w:tr>
    </w:tbl>
    <w:p>
      <w:pPr>
        <w:spacing w:after="120"/>
      </w:pPr>
    </w:p>
    <w:p>
      <w:pPr>
        <w:spacing w:after="140" w:before="40" w:line="276"/>
      </w:pPr>
      <w:r>
        <w:rPr>
          <w:rFonts w:ascii="Calibri" w:cs="Calibri" w:eastAsia="Calibri" w:hAnsi="Calibri"/>
          <w:color w:val="1B2333"/>
          <w:sz w:val="21"/>
          <w:szCs w:val="21"/>
        </w:rPr>
        <w:t xml:space="preserve">The company has not yet paid the Apple Developer fee, has not opened the Google Play account, has not filed a trademark, and has not registered a copyright. Nothing has been sold. The $200 in the bank is the whole of the capital.</w:t>
      </w:r>
    </w:p>
    <w:p>
      <w:pPr>
        <w:pStyle w:val="Heading2"/>
        <w:spacing w:after="110" w:before="260"/>
      </w:pPr>
      <w:r>
        <w:rPr>
          <w:rFonts w:ascii="Calibri" w:cs="Calibri" w:eastAsia="Calibri" w:hAnsi="Calibri"/>
          <w:b/>
          <w:bCs/>
          <w:color w:val="10233F"/>
          <w:sz w:val="24"/>
          <w:szCs w:val="24"/>
        </w:rPr>
        <w:t xml:space="preserve">2.1 Domains</w:t>
      </w:r>
    </w:p>
    <w:p>
      <w:pPr>
        <w:spacing w:after="140" w:before="0" w:line="276"/>
      </w:pPr>
      <w:r>
        <w:rPr>
          <w:rFonts w:ascii="Calibri" w:cs="Calibri" w:eastAsia="Calibri" w:hAnsi="Calibri"/>
          <w:color w:val="1B2333"/>
          <w:sz w:val="21"/>
          <w:szCs w:val="21"/>
        </w:rPr>
        <w:t xml:space="preserve">All three are registered at GoDaddy in one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4233"/>
        <w:gridCol w:w="3630"/>
      </w:tblGrid>
      <w:tr>
        <w:trPr>
          <w:tblHeader/>
        </w:trPr>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Domain</w:t>
            </w:r>
          </w:p>
        </w:tc>
        <w:tc>
          <w:tcPr>
            <w:tcW w:type="dxa" w:w="423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Job</w:t>
            </w:r>
          </w:p>
        </w:tc>
        <w:tc>
          <w:tcPr>
            <w:tcW w:type="dxa" w:w="3630"/>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State</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ezvoxa.com</w:t>
            </w:r>
          </w:p>
        </w:tc>
        <w:tc>
          <w:tcPr>
            <w:tcW w:type="dxa" w:w="42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brand and the website. Everything printed or shared points here.</w:t>
            </w:r>
          </w:p>
        </w:tc>
        <w:tc>
          <w:tcPr>
            <w:tcW w:type="dxa" w:w="363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 since 1 September 2026 on Vercel. The apex redirects to www.</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myezvoice.com</w:t>
            </w:r>
          </w:p>
        </w:tc>
        <w:tc>
          <w:tcPr>
            <w:tcW w:type="dxa" w:w="42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second spelling so a misheard name still finds the company. Never run as a second brand.</w:t>
            </w:r>
          </w:p>
        </w:tc>
        <w:tc>
          <w:tcPr>
            <w:tcW w:type="dxa" w:w="363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Connected 2 September 2026, redirects to ezvoxa.com.</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app.ezvoxa.com</w:t>
            </w:r>
          </w:p>
        </w:tc>
        <w:tc>
          <w:tcPr>
            <w:tcW w:type="dxa" w:w="42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customer app, on its own release lane. Not a separate registration.</w:t>
            </w:r>
          </w:p>
        </w:tc>
        <w:tc>
          <w:tcPr>
            <w:tcW w:type="dxa" w:w="363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Reserved. Goes live when the first release is deliberately cut.</w:t>
            </w:r>
          </w:p>
        </w:tc>
      </w:tr>
    </w:tbl>
    <w:p>
      <w:pPr>
        <w:spacing w:after="100"/>
      </w:pPr>
    </w:p>
    <w:p>
      <w:pPr>
        <w:spacing w:after="140" w:before="0" w:line="276"/>
      </w:pPr>
      <w:r>
        <w:rPr>
          <w:rFonts w:ascii="Calibri" w:cs="Calibri" w:eastAsia="Calibri" w:hAnsi="Calibri"/>
          <w:color w:val="44506A"/>
          <w:sz w:val="20"/>
          <w:szCs w:val="20"/>
        </w:rPr>
        <w:t xml:space="preserve">Email at frank@ezvoxa.com forwards to a personal inbox through ImprovMX, with the records held in GoDaddy DNS. Renewal costs for the domains and the cost of the ImprovMX plan are not recorded.</w:t>
      </w:r>
    </w:p>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3. The product</w:t>
      </w:r>
    </w:p>
    <w:p>
      <w:pPr>
        <w:spacing w:after="140" w:before="0" w:line="276"/>
      </w:pPr>
      <w:r>
        <w:rPr>
          <w:rFonts w:ascii="Calibri" w:cs="Calibri" w:eastAsia="Calibri" w:hAnsi="Calibri"/>
          <w:color w:val="1B2333"/>
          <w:sz w:val="21"/>
          <w:szCs w:val="21"/>
        </w:rPr>
        <w:t xml:space="preserve">EZvoxa is an app that speaks for someone who cannot. It runs on an ordinary iPhone or Android phone, or as an installable web app on any device with a browser. The user taps a picture and the phone says the sentence out loud.</w:t>
      </w:r>
    </w:p>
    <w:p>
      <w:pPr>
        <w:spacing w:after="140" w:before="0" w:line="276"/>
      </w:pPr>
      <w:r>
        <w:rPr>
          <w:rFonts w:ascii="Calibri" w:cs="Calibri" w:eastAsia="Calibri" w:hAnsi="Calibri"/>
          <w:color w:val="1B2333"/>
          <w:sz w:val="21"/>
          <w:szCs w:val="21"/>
        </w:rPr>
        <w:t xml:space="preserve">The design rule that governs every screen: the user does not read, so the picture is the button and the word underneath it is only a caption. Boards are three tiles across with the artwork as large as the column allows. This is not decoration. It is what makes the product usable by someone who cannot read the label.</w:t>
      </w:r>
    </w:p>
    <w:p>
      <w:pPr>
        <w:pStyle w:val="Heading2"/>
        <w:spacing w:after="110" w:before="260"/>
      </w:pPr>
      <w:r>
        <w:rPr>
          <w:rFonts w:ascii="Calibri" w:cs="Calibri" w:eastAsia="Calibri" w:hAnsi="Calibri"/>
          <w:b/>
          <w:bCs/>
          <w:color w:val="10233F"/>
          <w:sz w:val="24"/>
          <w:szCs w:val="24"/>
        </w:rPr>
        <w:t xml:space="preserve">3.1 What is on the screen</w:t>
      </w:r>
    </w:p>
    <w:p>
      <w:pPr>
        <w:spacing w:after="140" w:before="0" w:line="276"/>
      </w:pPr>
      <w:r>
        <w:rPr>
          <w:rFonts w:ascii="Calibri" w:cs="Calibri" w:eastAsia="Calibri" w:hAnsi="Calibri"/>
          <w:color w:val="1B2333"/>
          <w:sz w:val="21"/>
          <w:szCs w:val="21"/>
        </w:rPr>
        <w:t xml:space="preserve">Thirteen tiles on the home board, each opening a full board or a set of spoken phrases: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7863"/>
      </w:tblGrid>
      <w:tr>
        <w:trPr>
          <w:tblHeader/>
        </w:trPr>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Board</w:t>
            </w:r>
          </w:p>
        </w:tc>
        <w:tc>
          <w:tcPr>
            <w:tcW w:type="dxa" w:w="786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it does</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Family</w:t>
            </w:r>
          </w:p>
        </w:tc>
        <w:tc>
          <w:tcPr>
            <w:tcW w:type="dxa" w:w="786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page per person. Tap the photo to say their name. Six phrases such as I love you, I miss you, I need you, plus Please and Thank you. If the person has a phone number, a Text button sends the phrase to them.</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Friends</w:t>
            </w:r>
          </w:p>
        </w:tc>
        <w:tc>
          <w:tcPr>
            <w:tcW w:type="dxa" w:w="786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same idea for friends, with teenage phrases: Hey what’s up, Wanna sit together at lunch, and so on.</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Food</w:t>
            </w:r>
          </w:p>
        </w:tc>
        <w:tc>
          <w:tcPr>
            <w:tcW w:type="dxa" w:w="786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Foods, drinks, snacks, and restaurant menus the family can edit.</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School</w:t>
            </w:r>
          </w:p>
        </w:tc>
        <w:tc>
          <w:tcPr>
            <w:tcW w:type="dxa" w:w="786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Teacher phrases (bathroom, break, help, say that again, I don’t understand, I’m finished, more time), plus Colors, Numbers and a calculator.</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Hurt</w:t>
            </w:r>
          </w:p>
        </w:tc>
        <w:tc>
          <w:tcPr>
            <w:tcW w:type="dxa" w:w="786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body map. Tap where it hurts, answer two questions, then a numbered pain scale of one to three, four to six, seven to ten. The app speaks the whole thing as one sentence.</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Feelings</w:t>
            </w:r>
          </w:p>
        </w:tc>
        <w:tc>
          <w:tcPr>
            <w:tcW w:type="dxa" w:w="786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Six faces, twelve phrases for being overwhelmed, and a free-choice chooser.</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Places</w:t>
            </w:r>
          </w:p>
        </w:tc>
        <w:tc>
          <w:tcPr>
            <w:tcW w:type="dxa" w:w="786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Pool, beach, park, movies, bike, trampoline park, soccer field, the dog. Each says one full sentence.</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Watch</w:t>
            </w:r>
          </w:p>
        </w:tc>
        <w:tc>
          <w:tcPr>
            <w:tcW w:type="dxa" w:w="786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Shows and streaming services the family adds.</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Morning, Night, Bathroom, Calendar, Sentence Build</w:t>
            </w:r>
          </w:p>
        </w:tc>
        <w:tc>
          <w:tcPr>
            <w:tcW w:type="dxa" w:w="786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Routines, a clock, and a builder for sentences the boards do not already carry.</w:t>
            </w:r>
          </w:p>
        </w:tc>
      </w:tr>
    </w:tbl>
    <w:p>
      <w:pPr>
        <w:spacing w:after="120"/>
      </w:pPr>
    </w:p>
    <w:p>
      <w:pPr>
        <w:spacing w:after="140" w:before="0" w:line="276"/>
      </w:pPr>
      <w:r>
        <w:rPr>
          <w:rFonts w:ascii="Calibri" w:cs="Calibri" w:eastAsia="Calibri" w:hAnsi="Calibri"/>
          <w:color w:val="1B2333"/>
          <w:sz w:val="21"/>
          <w:szCs w:val="21"/>
        </w:rPr>
        <w:t xml:space="preserve">Every board can be edited from inside the board itself. A parent unlocks edit mode, taps Add, and adds a button with their own photo and up to three phrases. Nothing requires a clinician, a training course, or a configuration appointment.</w:t>
      </w:r>
    </w:p>
    <w:p>
      <w:pPr>
        <w:pStyle w:val="Heading2"/>
        <w:spacing w:after="110" w:before="260"/>
      </w:pPr>
      <w:r>
        <w:rPr>
          <w:rFonts w:ascii="Calibri" w:cs="Calibri" w:eastAsia="Calibri" w:hAnsi="Calibri"/>
          <w:b/>
          <w:bCs/>
          <w:color w:val="10233F"/>
          <w:sz w:val="24"/>
          <w:szCs w:val="24"/>
        </w:rPr>
        <w:t xml:space="preserve">3.2 What the app does that a picture board cannot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3"/>
        <w:gridCol w:w="4536"/>
        <w:gridCol w:w="3831"/>
      </w:tblGrid>
      <w:tr>
        <w:trPr>
          <w:tblHeader/>
        </w:trPr>
        <w:tc>
          <w:tcPr>
            <w:tcW w:type="dxa" w:w="171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Feature</w:t>
            </w:r>
          </w:p>
        </w:tc>
        <w:tc>
          <w:tcPr>
            <w:tcW w:type="dxa" w:w="45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it is</w:t>
            </w:r>
          </w:p>
        </w:tc>
        <w:tc>
          <w:tcPr>
            <w:tcW w:type="dxa" w:w="3831"/>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Why it matters commercially</w:t>
            </w:r>
          </w:p>
        </w:tc>
      </w:tr>
      <w:tr>
        <w:tc>
          <w:tcPr>
            <w:tcW w:type="dxa" w:w="17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Natural voice</w:t>
            </w:r>
          </w:p>
        </w:tc>
        <w:tc>
          <w:tcPr>
            <w:tcW w:type="dxa" w:w="45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teenage-sounding voice from ElevenLabs, chosen or designed by the family, instead of the built-in adult or robotic voices. Each phrase is paid for once and then remembered on the server.</w:t>
            </w:r>
          </w:p>
        </w:tc>
        <w:tc>
          <w:tcPr>
            <w:tcW w:type="dxa" w:w="383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It is the one feature gated behind the subscription. A lapse changes the sound. It never takes away the ability to talk.</w:t>
            </w:r>
          </w:p>
        </w:tc>
      </w:tr>
      <w:tr>
        <w:tc>
          <w:tcPr>
            <w:tcW w:type="dxa" w:w="17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SOS Family Alert</w:t>
            </w:r>
          </w:p>
        </w:tc>
        <w:tc>
          <w:tcPr>
            <w:tcW w:type="dxa" w:w="45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One red button texts and emails every family contact with a live location link.</w:t>
            </w:r>
          </w:p>
        </w:tc>
        <w:tc>
          <w:tcPr>
            <w:tcW w:type="dxa" w:w="383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Free forever on every tier, by the owner’s ruling. Abuse is handled by rate limiting, ten alerts in ten minutes, not by a paywall. It costs the company money on every press.</w:t>
            </w:r>
          </w:p>
        </w:tc>
      </w:tr>
      <w:tr>
        <w:tc>
          <w:tcPr>
            <w:tcW w:type="dxa" w:w="17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Cloud texting</w:t>
            </w:r>
          </w:p>
        </w:tc>
        <w:tc>
          <w:tcPr>
            <w:tcW w:type="dxa" w:w="45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user’s phone is locked to the app, so they cannot open Messages and press Send. The app sends the text through the server instead.</w:t>
            </w:r>
          </w:p>
        </w:tc>
        <w:tc>
          <w:tcPr>
            <w:tcW w:type="dxa" w:w="383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Locked from day one. A family can text only while its plan is active.</w:t>
            </w:r>
          </w:p>
        </w:tc>
      </w:tr>
      <w:tr>
        <w:tc>
          <w:tcPr>
            <w:tcW w:type="dxa" w:w="17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Voice notes from a parent</w:t>
            </w:r>
          </w:p>
        </w:tc>
        <w:tc>
          <w:tcPr>
            <w:tcW w:type="dxa" w:w="45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parent records a message. The child’s phone picks it up within about half a minute and plays it, saying who it is from.</w:t>
            </w:r>
          </w:p>
        </w:tc>
        <w:tc>
          <w:tcPr>
            <w:tcW w:type="dxa" w:w="383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 competitor does this. It is the return path for someone who cannot read a text back.</w:t>
            </w:r>
          </w:p>
        </w:tc>
      </w:tr>
      <w:tr>
        <w:tc>
          <w:tcPr>
            <w:tcW w:type="dxa" w:w="17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Family Code</w:t>
            </w:r>
          </w:p>
        </w:tc>
        <w:tc>
          <w:tcPr>
            <w:tcW w:type="dxa" w:w="45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first phone creates a code. Every other phone joins with it and picks a role. Boards, contacts and settings sync across the family.</w:t>
            </w:r>
          </w:p>
        </w:tc>
        <w:tc>
          <w:tcPr>
            <w:tcW w:type="dxa" w:w="383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It is also the account the subscription attaches to, and the mechanism the schools product reuses.</w:t>
            </w:r>
          </w:p>
        </w:tc>
      </w:tr>
      <w:tr>
        <w:tc>
          <w:tcPr>
            <w:tcW w:type="dxa" w:w="17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Backup and restore</w:t>
            </w:r>
          </w:p>
        </w:tc>
        <w:tc>
          <w:tcPr>
            <w:tcW w:type="dxa" w:w="45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Buttons and settings export to a file the family keeps.</w:t>
            </w:r>
          </w:p>
        </w:tc>
        <w:tc>
          <w:tcPr>
            <w:tcW w:type="dxa" w:w="383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privacy answer for a district: the backup never touches our servers.</w:t>
            </w:r>
          </w:p>
        </w:tc>
      </w:tr>
    </w:tbl>
    <w:p>
      <w:pPr>
        <w:pStyle w:val="Heading2"/>
        <w:spacing w:after="110" w:before="260"/>
      </w:pPr>
      <w:r>
        <w:rPr>
          <w:rFonts w:ascii="Calibri" w:cs="Calibri" w:eastAsia="Calibri" w:hAnsi="Calibri"/>
          <w:b/>
          <w:bCs/>
          <w:color w:val="10233F"/>
          <w:sz w:val="24"/>
          <w:szCs w:val="24"/>
        </w:rPr>
        <w:t xml:space="preserve">3.3 How it is built</w:t>
      </w:r>
    </w:p>
    <w:p>
      <w:pPr>
        <w:pStyle w:val="ListParagraph"/>
        <w:numPr>
          <w:ilvl w:val="0"/>
          <w:numId w:val="3"/>
        </w:numPr>
        <w:spacing w:after="90" w:line="276"/>
      </w:pPr>
      <w:r>
        <w:rPr>
          <w:rFonts w:ascii="Calibri" w:cs="Calibri" w:eastAsia="Calibri" w:hAnsi="Calibri"/>
          <w:color w:val="1B2333"/>
          <w:sz w:val="21"/>
          <w:szCs w:val="21"/>
        </w:rPr>
        <w:t xml:space="preserve">Two independent front ends. One is the owner’s son’s personal app, which is the daily proving ground. The other is the product sold, and it carries the EZvoxa identity. They began as copies and are meant to diverge. Nothing personal from the family ever ships in the product.</w:t>
      </w:r>
    </w:p>
    <w:p>
      <w:pPr>
        <w:pStyle w:val="ListParagraph"/>
        <w:numPr>
          <w:ilvl w:val="0"/>
          <w:numId w:val="3"/>
        </w:numPr>
        <w:spacing w:after="90" w:line="276"/>
      </w:pPr>
      <w:r>
        <w:rPr>
          <w:rFonts w:ascii="Calibri" w:cs="Calibri" w:eastAsia="Calibri" w:hAnsi="Calibri"/>
          <w:color w:val="1B2333"/>
          <w:sz w:val="21"/>
          <w:szCs w:val="21"/>
        </w:rPr>
        <w:t xml:space="preserve">One shared backend of small serverless functions on Vercel, with a key-value store on Upstash: emergency alerts, texting, inbound replies, voice notes, natural voice, the family record, settings sync, the subscription webhook, and the lead-capture endpoints for the website.</w:t>
      </w:r>
    </w:p>
    <w:p>
      <w:pPr>
        <w:pStyle w:val="ListParagraph"/>
        <w:numPr>
          <w:ilvl w:val="0"/>
          <w:numId w:val="3"/>
        </w:numPr>
        <w:spacing w:after="90" w:line="276"/>
      </w:pPr>
      <w:r>
        <w:rPr>
          <w:rFonts w:ascii="Calibri" w:cs="Calibri" w:eastAsia="Calibri" w:hAnsi="Calibri"/>
          <w:color w:val="1B2333"/>
          <w:sz w:val="21"/>
          <w:szCs w:val="21"/>
        </w:rPr>
        <w:t xml:space="preserve">The store apps are the same product wrapped with Capacitor and built by Codemagic. There is no separate native codebase to maintain.</w:t>
      </w:r>
    </w:p>
    <w:p>
      <w:pPr>
        <w:pStyle w:val="ListParagraph"/>
        <w:numPr>
          <w:ilvl w:val="0"/>
          <w:numId w:val="3"/>
        </w:numPr>
        <w:spacing w:after="90" w:line="276"/>
      </w:pPr>
      <w:r>
        <w:rPr>
          <w:rFonts w:ascii="Calibri" w:cs="Calibri" w:eastAsia="Calibri" w:hAnsi="Calibri"/>
          <w:color w:val="1B2333"/>
          <w:sz w:val="21"/>
          <w:szCs w:val="21"/>
        </w:rPr>
        <w:t xml:space="preserve">No phone number, key or private detail ships inside the app. The client sends person identifiers. The server holds the numbers in environment variables.</w:t>
      </w:r>
    </w:p>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4. Where development actually stands</w:t>
      </w:r>
    </w:p>
    <w:p>
      <w:pPr>
        <w:spacing w:after="140" w:before="0" w:line="276"/>
      </w:pPr>
      <w:r>
        <w:rPr>
          <w:rFonts w:ascii="Calibri" w:cs="Calibri" w:eastAsia="Calibri" w:hAnsi="Calibri"/>
          <w:color w:val="1B2333"/>
          <w:sz w:val="21"/>
          <w:szCs w:val="21"/>
        </w:rPr>
        <w:t xml:space="preserve">The app is finished enough that a nonverbal sixteen year old uses it to talk every day, on a locked iPhone, and has done for months. Three phones run it in production. That is the strongest fact in this document and it is worth stating plainly before the list of what is not done.</w:t>
      </w:r>
    </w:p>
    <w:p>
      <w:pPr>
        <w:spacing w:after="140" w:before="0" w:line="276"/>
      </w:pPr>
      <w:r>
        <w:rPr>
          <w:rFonts w:ascii="Calibri" w:cs="Calibri" w:eastAsia="Calibri" w:hAnsi="Calibri"/>
          <w:color w:val="1B2333"/>
          <w:sz w:val="21"/>
          <w:szCs w:val="21"/>
        </w:rPr>
        <w:t xml:space="preserve">What is not done is almost entirely commercial plumbing, not product.</w:t>
      </w:r>
    </w:p>
    <w:p>
      <w:pPr>
        <w:pStyle w:val="Heading2"/>
        <w:spacing w:after="110" w:before="260"/>
      </w:pPr>
      <w:r>
        <w:rPr>
          <w:rFonts w:ascii="Calibri" w:cs="Calibri" w:eastAsia="Calibri" w:hAnsi="Calibri"/>
          <w:b/>
          <w:bCs/>
          <w:color w:val="10233F"/>
          <w:sz w:val="24"/>
          <w:szCs w:val="24"/>
        </w:rPr>
        <w:t xml:space="preserve">4.1 Built, working, in daily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Piece</w:t>
            </w:r>
          </w:p>
        </w:tc>
        <w:tc>
          <w:tcPr>
            <w:tcW w:type="dxa" w:w="705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State</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app itself</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Complete. Thirteen boards, per person pages, body map and pain scale, sentence builder, editable everything.</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Emergency alerts</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 Texts and emails every contact with a location link. Rate limited, never gated on payment.</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Cloud texting and inbound replies</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 Gated on an active plan from day one.</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Parent voice notes</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Natural voice</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 Each phrase paid for once and then cached on the server.</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Family Code, sync, backup and restore</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Built and shipped.</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 store shell</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Built. Purpose strings, privacy manifest, portrait lock, icon, splash.</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Android store shell</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Built. Manifest permissions, launcher icons, release signing wired, Play listing icon.</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Packaging and build pipeline</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Built. Strips family photos, points the app at the customer lane, injects billing only when asked.</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Subscription rails</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Built and dormant. The gate, the settings card, the restore button, the webhook, and the sales dashboard all exist.</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Website</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 at ezvoxa.com. Fourteen pages including a schools and clinics section, a guided demo with narration, and a browser preview of the app.</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Lead capture and inbox</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 Three forms, three endpoints, one password-protected inbox that refreshes every thirty seconds.</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Privacy policy</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Live at the URL both store forms ask for.</w:t>
            </w:r>
          </w:p>
        </w:tc>
      </w:tr>
    </w:tbl>
    <w:p>
      <w:pPr>
        <w:pStyle w:val="Heading2"/>
        <w:spacing w:after="110" w:before="260"/>
      </w:pPr>
      <w:r>
        <w:rPr>
          <w:rFonts w:ascii="Calibri" w:cs="Calibri" w:eastAsia="Calibri" w:hAnsi="Calibri"/>
          <w:b/>
          <w:bCs/>
          <w:color w:val="10233F"/>
          <w:sz w:val="24"/>
          <w:szCs w:val="24"/>
        </w:rPr>
        <w:t xml:space="preserve">4.2 Not done, and what each one blocks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6"/>
        <w:gridCol w:w="5444"/>
      </w:tblGrid>
      <w:tr>
        <w:trPr>
          <w:tblHeader/>
        </w:trPr>
        <w:tc>
          <w:tcPr>
            <w:tcW w:type="dxa" w:w="46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Not done</w:t>
            </w:r>
          </w:p>
        </w:tc>
        <w:tc>
          <w:tcPr>
            <w:tcW w:type="dxa" w:w="544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Blocks</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 Store Connect not yet set up. The Apple Developer Program itself is DONE: enrolled and paid 10 September 2026, order #W1949990147, one-year Organization membership, licence agreement accepted. What remains is Agreements, Tax and Banking with the W-9, then enrolling in the Small Business Program.</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Submission and in-app purchase products. Note the Small Business Program in particular: enrolling in it AFTER the first sale means paying 30 percent commission instead of 15.</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Google Play Console account not opened. $25 one-time.</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Everything on Android.</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Price not confirmed by the owner.</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store subscription products cannot be created, and no price can appear on the website.</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Store listing assets: screenshots at two iPhone sizes, Play phone screenshots, a feature graphic, and an approved description.</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Submission to either store.</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RevenueCat account, entitlement, offering, webhook secret, and build flags.</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Turning the subscription on. The code is written. This is configuration.</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district portal: organization accounts, join codes, seat counting, device list, sign in by emailed link.</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entire schools channel. The website already describes this system to districts. It does not exist yet.</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EZvoxa Pro as its own build and its own store listing, plus its icon.</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Selling to schools as a separate product.</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Consumer checkout on the website, and the choice of payment processor.</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Selling to anyone without an app store account.</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email address that receives quote requests is not configured on the server.</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Nobody is notified when a district asks for a quote. Requests are stored, silently.</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 release has been cut to the customer lane, so app.ezvoxa.com is empty.</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schools page already tells districts to install from that address.</w:t>
            </w:r>
          </w:p>
        </w:tc>
      </w:tr>
    </w:tbl>
    <w:p>
      <w:pPr>
        <w:spacing w:after="80"/>
      </w:pP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10233F" w:sz="18"/>
              <w:bottom w:val="none"/>
              <w:right w:val="none"/>
            </w:tcBorders>
            <w:shd w:fill="EEF2F8" w:color="auto" w:val="clear"/>
            <w:tcMar>
              <w:top w:type="dxa" w:w="160"/>
              <w:left w:type="dxa" w:w="200"/>
              <w:bottom w:type="dxa" w:w="160"/>
              <w:right w:type="dxa" w:w="200"/>
            </w:tcMar>
          </w:tcPr>
          <w:p>
            <w:pPr>
              <w:spacing w:after="0" w:before="0" w:line="276"/>
            </w:pPr>
            <w:r>
              <w:rPr>
                <w:rFonts w:ascii="Calibri" w:cs="Calibri" w:eastAsia="Calibri" w:hAnsi="Calibri"/>
                <w:color w:val="25304A"/>
                <w:sz w:val="20"/>
                <w:szCs w:val="20"/>
              </w:rPr>
              <w:t xml:space="preserve">The honest read for a modeler: the product risk is low and the go-to-market risk is the whole risk. Nothing on the "not done" list is hard engineering. Several items are a form, a fee or a decision. But until the store accounts exist and a price is chosen, revenue on every channel is zero, and the schools channel additionally needs a portal that has not been started.</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5. The four ways this product can be sold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1411"/>
        <w:gridCol w:w="2419"/>
        <w:gridCol w:w="3225"/>
        <w:gridCol w:w="1513"/>
      </w:tblGrid>
      <w:tr>
        <w:trPr>
          <w:tblHeader/>
        </w:trPr>
        <w:tc>
          <w:tcPr>
            <w:tcW w:type="dxa" w:w="1512"/>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Channel</w:t>
            </w:r>
          </w:p>
        </w:tc>
        <w:tc>
          <w:tcPr>
            <w:tcW w:type="dxa" w:w="1411"/>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Who buys</w:t>
            </w:r>
          </w:p>
        </w:tc>
        <w:tc>
          <w:tcPr>
            <w:tcW w:type="dxa" w:w="241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How money arrives</w:t>
            </w:r>
          </w:p>
        </w:tc>
        <w:tc>
          <w:tcPr>
            <w:tcW w:type="dxa" w:w="3225"/>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is taken out</w:t>
            </w:r>
          </w:p>
        </w:tc>
        <w:tc>
          <w:tcPr>
            <w:tcW w:type="dxa" w:w="151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State</w:t>
            </w:r>
          </w:p>
        </w:tc>
      </w:tr>
      <w:tr>
        <w:tc>
          <w:tcPr>
            <w:tcW w:type="dxa" w:w="151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Apple App Store</w:t>
            </w:r>
          </w:p>
        </w:tc>
        <w:tc>
          <w:tcPr>
            <w:tcW w:type="dxa" w:w="141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family</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Apple collects, pays by bank transfer within 45 days of the end of its fiscal month, once past a $40 threshold</w:t>
            </w:r>
          </w:p>
        </w:tc>
        <w:tc>
          <w:tcPr>
            <w:tcW w:type="dxa" w:w="32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15% commission under the Small Business Program, below $1M a year. Must be enrolled before the first sale, or it is 30%. Then 1% to RevenueCat above $2,500 tracked a month.</w:t>
            </w:r>
          </w:p>
        </w:tc>
        <w:tc>
          <w:tcPr>
            <w:tcW w:type="dxa" w:w="15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Blocked on enrollment</w:t>
            </w:r>
          </w:p>
        </w:tc>
      </w:tr>
      <w:tr>
        <w:tc>
          <w:tcPr>
            <w:tcW w:type="dxa" w:w="151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Google Play</w:t>
            </w:r>
          </w:p>
        </w:tc>
        <w:tc>
          <w:tcPr>
            <w:tcW w:type="dxa" w:w="141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family</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Google collects, pays monthly</w:t>
            </w:r>
          </w:p>
        </w:tc>
        <w:tc>
          <w:tcPr>
            <w:tcW w:type="dxa" w:w="32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15% on the first $1M a year, same enrollment requirement. Same RevenueCat 1%.</w:t>
            </w:r>
          </w:p>
        </w:tc>
        <w:tc>
          <w:tcPr>
            <w:tcW w:type="dxa" w:w="15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Account not opened</w:t>
            </w:r>
          </w:p>
        </w:tc>
      </w:tr>
      <w:tr>
        <w:tc>
          <w:tcPr>
            <w:tcW w:type="dxa" w:w="151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Our own website</w:t>
            </w:r>
          </w:p>
        </w:tc>
        <w:tc>
          <w:tcPr>
            <w:tcW w:type="dxa" w:w="141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family with no store account, or one who prefers it</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Card payment direct to the company</w:t>
            </w:r>
          </w:p>
        </w:tc>
        <w:tc>
          <w:tcPr>
            <w:tcW w:type="dxa" w:w="32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Card processing instead of a store cut. Stripe publishes 2.9% plus $0.30 per domestic card transaction.</w:t>
            </w:r>
          </w:p>
        </w:tc>
        <w:tc>
          <w:tcPr>
            <w:tcW w:type="dxa" w:w="15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Not built. Processor not chosen</w:t>
            </w:r>
          </w:p>
        </w:tc>
      </w:tr>
      <w:tr>
        <w:tc>
          <w:tcPr>
            <w:tcW w:type="dxa" w:w="151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Direct invoice</w:t>
            </w:r>
          </w:p>
        </w:tc>
        <w:tc>
          <w:tcPr>
            <w:tcW w:type="dxa" w:w="141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school district or a clinic</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Purchase order, then invoice, paid on the district’s terms</w:t>
            </w:r>
          </w:p>
        </w:tc>
        <w:tc>
          <w:tcPr>
            <w:tcW w:type="dxa" w:w="32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 store commission and no RevenueCat, because the sale never touches a store. Card fees only if they pay by card. Selling costs instead.</w:t>
            </w:r>
          </w:p>
        </w:tc>
        <w:tc>
          <w:tcPr>
            <w:tcW w:type="dxa" w:w="15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Portal not built</w:t>
            </w:r>
          </w:p>
        </w:tc>
      </w:tr>
    </w:tbl>
    <w:p>
      <w:pPr>
        <w:spacing w:after="120"/>
      </w:pPr>
    </w:p>
    <w:p>
      <w:pPr>
        <w:spacing w:after="140" w:before="0" w:line="276"/>
      </w:pPr>
      <w:r>
        <w:rPr>
          <w:rFonts w:ascii="Calibri" w:cs="Calibri" w:eastAsia="Calibri" w:hAnsi="Calibri"/>
          <w:color w:val="1B2333"/>
          <w:sz w:val="21"/>
          <w:szCs w:val="21"/>
        </w:rPr>
        <w:t xml:space="preserve">Two rules from Apple that shape the whole design, read from Apple’s own guidelines:</w:t>
      </w:r>
    </w:p>
    <w:p>
      <w:pPr>
        <w:pStyle w:val="ListParagraph"/>
        <w:numPr>
          <w:ilvl w:val="0"/>
          <w:numId w:val="3"/>
        </w:numPr>
        <w:spacing w:after="90" w:line="276"/>
      </w:pPr>
      <w:r>
        <w:rPr>
          <w:rFonts w:ascii="Calibri" w:cs="Calibri" w:eastAsia="Calibri" w:hAnsi="Calibri"/>
          <w:color w:val="1B2333"/>
          <w:sz w:val="21"/>
          <w:szCs w:val="21"/>
        </w:rPr>
        <w:t xml:space="preserve">Guideline 3.1.1. The iOS app may never mention, link to, or hint at buying anywhere except the App Store. The website may say whatever it likes. This is why the app never prints a price of its own and lets the store’s sheet do it.</w:t>
      </w:r>
    </w:p>
    <w:p>
      <w:pPr>
        <w:pStyle w:val="ListParagraph"/>
        <w:numPr>
          <w:ilvl w:val="0"/>
          <w:numId w:val="3"/>
        </w:numPr>
        <w:spacing w:after="90" w:line="276"/>
      </w:pPr>
      <w:r>
        <w:rPr>
          <w:rFonts w:ascii="Calibri" w:cs="Calibri" w:eastAsia="Calibri" w:hAnsi="Calibri"/>
          <w:color w:val="1B2333"/>
          <w:sz w:val="21"/>
          <w:szCs w:val="21"/>
        </w:rPr>
        <w:t xml:space="preserve">Guideline 3.1.3(b). A family who buys on our website may use what they bought inside the store app, as long as the same item is also sold as an in-app purchase. The Family Code is the account that would carry it.</w:t>
      </w:r>
    </w:p>
    <w:p>
      <w:pPr>
        <w:pStyle w:val="ListParagraph"/>
        <w:numPr>
          <w:ilvl w:val="0"/>
          <w:numId w:val="3"/>
        </w:numPr>
        <w:spacing w:after="90" w:line="276"/>
      </w:pPr>
      <w:r>
        <w:rPr>
          <w:rFonts w:ascii="Calibri" w:cs="Calibri" w:eastAsia="Calibri" w:hAnsi="Calibri"/>
          <w:color w:val="1B2333"/>
          <w:sz w:val="21"/>
          <w:szCs w:val="21"/>
        </w:rPr>
        <w:t xml:space="preserve">Guideline 3.1.3(c). An app sold only to organizations for their students may be unlocked by the organization’s purchase rather than in-app purchase. This is the rule the schools product lives under, and it is why the schools product has to be a separate listing from the family one.</w:t>
      </w:r>
    </w:p>
    <w:p>
      <w:pPr>
        <w:pStyle w:val="Heading1"/>
        <w:pBdr>
          <w:bottom w:val="single" w:color="10233F" w:sz="12" w:space="6"/>
        </w:pBdr>
        <w:spacing w:after="160" w:before="360"/>
      </w:pPr>
      <w:r>
        <w:rPr>
          <w:rFonts w:ascii="Calibri" w:cs="Calibri" w:eastAsia="Calibri" w:hAnsi="Calibri"/>
          <w:b/>
          <w:bCs/>
          <w:color w:val="10233F"/>
          <w:sz w:val="30"/>
          <w:szCs w:val="30"/>
        </w:rPr>
        <w:t xml:space="preserve">6. The revenue streams</w:t>
      </w:r>
    </w:p>
    <w:p>
      <w:pPr>
        <w:spacing w:after="140" w:before="0" w:line="276"/>
      </w:pPr>
      <w:r>
        <w:rPr>
          <w:rFonts w:ascii="Calibri" w:cs="Calibri" w:eastAsia="Calibri" w:hAnsi="Calibri"/>
          <w:color w:val="1B2333"/>
          <w:sz w:val="21"/>
          <w:szCs w:val="21"/>
        </w:rPr>
        <w:t xml:space="preserve">Four streams. Three of them are consumer and one is institutional. Every price below is a working number from the owner’s planning document. None is confirmed and none has ever been charged.</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8A4B00" w:sz="18"/>
              <w:bottom w:val="none"/>
              <w:right w:val="none"/>
            </w:tcBorders>
            <w:shd w:fill="FDF6EC" w:color="auto" w:val="clear"/>
            <w:tcMar>
              <w:top w:type="dxa" w:w="160"/>
              <w:left w:type="dxa" w:w="200"/>
              <w:bottom w:type="dxa" w:w="160"/>
              <w:right w:type="dxa" w:w="200"/>
            </w:tcMar>
          </w:tcPr>
          <w:p>
            <w:pPr>
              <w:spacing w:after="0" w:before="0" w:line="276"/>
            </w:pPr>
            <w:r>
              <w:rPr>
                <w:rFonts w:ascii="Calibri" w:cs="Calibri" w:eastAsia="Calibri" w:hAnsi="Calibri"/>
                <w:color w:val="5A3A08"/>
                <w:sz w:val="20"/>
                <w:szCs w:val="20"/>
              </w:rPr>
              <w:t xml:space="preserve">Working prices, not confirmed. Do not quote these outside the company. The earlier version of the plan used $79.99 and $12.99 for the first two lines, which is a measure of how unsettled they are.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1814"/>
        <w:gridCol w:w="4536"/>
        <w:gridCol w:w="1513"/>
      </w:tblGrid>
      <w:tr>
        <w:trPr>
          <w:tblHeader/>
        </w:trPr>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Stream</w:t>
            </w:r>
          </w:p>
        </w:tc>
        <w:tc>
          <w:tcPr>
            <w:tcW w:type="dxa" w:w="181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Working price</w:t>
            </w:r>
          </w:p>
        </w:tc>
        <w:tc>
          <w:tcPr>
            <w:tcW w:type="dxa" w:w="45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the buyer gets</w:t>
            </w:r>
          </w:p>
        </w:tc>
        <w:tc>
          <w:tcPr>
            <w:tcW w:type="dxa" w:w="151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Recurring</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app, one time</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$99.99</w:t>
            </w:r>
          </w:p>
        </w:tc>
        <w:tc>
          <w:tcPr>
            <w:tcW w:type="dxa" w:w="45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whole app. Every board, the device voice, emergency alerts, sync and backup. Bought once, on either store or on our site. The natural voice is not included. That is the subscription.</w:t>
            </w:r>
          </w:p>
        </w:tc>
        <w:tc>
          <w:tcPr>
            <w:tcW w:type="dxa" w:w="15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Connected Family Tether, subscription</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$9.99 a month, or $99.99 a year</w:t>
            </w:r>
          </w:p>
        </w:tc>
        <w:tc>
          <w:tcPr>
            <w:tcW w:type="dxa" w:w="45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natural voice and cloud texting. Without it the device voice still speaks and the app still works. The emergency alert is never part of it.</w:t>
            </w:r>
          </w:p>
        </w:tc>
        <w:tc>
          <w:tcPr>
            <w:tcW w:type="dxa" w:w="15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Yes</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EZvoxa Pro seat, schools and clinics</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$249.99 a seat list</w:t>
            </w:r>
          </w:p>
        </w:tc>
        <w:tc>
          <w:tcPr>
            <w:tcW w:type="dxa" w:w="45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perpetual seat. One seat is one device. Owned outright, no renewal, no per student fee, updates included.</w:t>
            </w:r>
          </w:p>
        </w:tc>
        <w:tc>
          <w:tcPr>
            <w:tcW w:type="dxa" w:w="15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 by design</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Negotiated Pro seat</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 fixed price</w:t>
            </w:r>
          </w:p>
        </w:tc>
        <w:tc>
          <w:tcPr>
            <w:tcW w:type="dxa" w:w="45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owner sets the unit price per deal by size, hardship, district-wide adoption, referral or pilot. A stand-in of $124.99 at twenty or more seats exists in the working file only as a placeholder for what large orders might average.</w:t>
            </w:r>
          </w:p>
        </w:tc>
        <w:tc>
          <w:tcPr>
            <w:tcW w:type="dxa" w:w="15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w:t>
            </w:r>
          </w:p>
        </w:tc>
      </w:tr>
    </w:tbl>
    <w:p>
      <w:pPr>
        <w:spacing w:after="120"/>
      </w:pPr>
    </w:p>
    <w:p>
      <w:pPr>
        <w:pStyle w:val="Heading3"/>
        <w:spacing w:after="90" w:before="200"/>
      </w:pPr>
      <w:r>
        <w:rPr>
          <w:rFonts w:ascii="Calibri" w:cs="Calibri" w:eastAsia="Calibri" w:hAnsi="Calibri"/>
          <w:b/>
          <w:bCs/>
          <w:color w:val="44506A"/>
          <w:sz w:val="21"/>
          <w:szCs w:val="21"/>
        </w:rPr>
        <w:t xml:space="preserve">The gating logic, which matters for churn modeling</w:t>
      </w:r>
    </w:p>
    <w:p>
      <w:pPr>
        <w:pStyle w:val="ListParagraph"/>
        <w:numPr>
          <w:ilvl w:val="0"/>
          <w:numId w:val="3"/>
        </w:numPr>
        <w:spacing w:after="90" w:line="276"/>
      </w:pPr>
      <w:r>
        <w:rPr>
          <w:rFonts w:ascii="Calibri" w:cs="Calibri" w:eastAsia="Calibri" w:hAnsi="Calibri"/>
          <w:color w:val="1B2333"/>
          <w:sz w:val="21"/>
          <w:szCs w:val="21"/>
        </w:rPr>
        <w:t xml:space="preserve">The app never stops talking. If the subscription lapses, the natural voice steps aside and the device voice speaks. That is the entire consequence.</w:t>
      </w:r>
    </w:p>
    <w:p>
      <w:pPr>
        <w:pStyle w:val="ListParagraph"/>
        <w:numPr>
          <w:ilvl w:val="0"/>
          <w:numId w:val="3"/>
        </w:numPr>
        <w:spacing w:after="90" w:line="276"/>
      </w:pPr>
      <w:r>
        <w:rPr>
          <w:rFonts w:ascii="Calibri" w:cs="Calibri" w:eastAsia="Calibri" w:hAnsi="Calibri"/>
          <w:color w:val="1B2333"/>
          <w:sz w:val="21"/>
          <w:szCs w:val="21"/>
        </w:rPr>
        <w:t xml:space="preserve">Cloud texting is off until the plan is active. There is no free tier of texting.</w:t>
      </w:r>
    </w:p>
    <w:p>
      <w:pPr>
        <w:pStyle w:val="ListParagraph"/>
        <w:numPr>
          <w:ilvl w:val="0"/>
          <w:numId w:val="3"/>
        </w:numPr>
        <w:spacing w:after="90" w:line="276"/>
      </w:pPr>
      <w:r>
        <w:rPr>
          <w:rFonts w:ascii="Calibri" w:cs="Calibri" w:eastAsia="Calibri" w:hAnsi="Calibri"/>
          <w:color w:val="1B2333"/>
          <w:sz w:val="21"/>
          <w:szCs w:val="21"/>
        </w:rPr>
        <w:t xml:space="preserve">The emergency alert is free forever, on every tier, and is never part of the subscription. It costs the company money on every press and that cost is absorbed deliberately.</w:t>
      </w:r>
    </w:p>
    <w:p>
      <w:pPr>
        <w:pStyle w:val="ListParagraph"/>
        <w:numPr>
          <w:ilvl w:val="0"/>
          <w:numId w:val="3"/>
        </w:numPr>
        <w:spacing w:after="90" w:line="276"/>
      </w:pPr>
      <w:r>
        <w:rPr>
          <w:rFonts w:ascii="Calibri" w:cs="Calibri" w:eastAsia="Calibri" w:hAnsi="Calibri"/>
          <w:color w:val="1B2333"/>
          <w:sz w:val="21"/>
          <w:szCs w:val="21"/>
        </w:rPr>
        <w:t xml:space="preserve">If billing is unreachable, the app unlocks everything. A billing outage must never take a feature from someone who paid.</w:t>
      </w:r>
    </w:p>
    <w:p>
      <w:pPr>
        <w:pStyle w:val="ListParagraph"/>
        <w:numPr>
          <w:ilvl w:val="0"/>
          <w:numId w:val="3"/>
        </w:numPr>
        <w:spacing w:after="90" w:line="276"/>
      </w:pPr>
      <w:r>
        <w:rPr>
          <w:rFonts w:ascii="Calibri" w:cs="Calibri" w:eastAsia="Calibri" w:hAnsi="Calibri"/>
          <w:color w:val="1B2333"/>
          <w:sz w:val="21"/>
          <w:szCs w:val="21"/>
        </w:rPr>
        <w:t xml:space="preserve">A subscription bought on one phone is honored on every phone in the family, because the purchase is filed against the family’s hidden identifier rather than a single device.</w:t>
      </w:r>
    </w:p>
    <w:p>
      <w:pPr>
        <w:spacing w:after="60"/>
      </w:pPr>
    </w:p>
    <w:p>
      <w:pPr>
        <w:spacing w:after="140" w:before="0" w:line="276"/>
      </w:pPr>
      <w:r>
        <w:rPr>
          <w:rFonts w:ascii="Calibri" w:cs="Calibri" w:eastAsia="Calibri" w:hAnsi="Calibri"/>
          <w:color w:val="1B2333"/>
          <w:sz w:val="21"/>
          <w:szCs w:val="21"/>
        </w:rPr>
        <w:t xml:space="preserve">Two things a modeler should notice. First, the one-time price and the subscription are separate products, so a buyer count and a subscriber count are different numbers and the attach rate between them is unknown. Second, the yearly option exists but the split between monthly and yearly buyers has never been estimated, and the two produce very different cash timing.</w:t>
      </w:r>
    </w:p>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7. The schools and clinics channel</w:t>
      </w:r>
    </w:p>
    <w:p>
      <w:pPr>
        <w:spacing w:after="140" w:before="0" w:line="276"/>
      </w:pPr>
      <w:r>
        <w:rPr>
          <w:rFonts w:ascii="Calibri" w:cs="Calibri" w:eastAsia="Calibri" w:hAnsi="Calibri"/>
          <w:color w:val="1B2333"/>
          <w:sz w:val="21"/>
          <w:szCs w:val="21"/>
        </w:rPr>
        <w:t xml:space="preserve">This is a separate product, a separate buyer, a separate sales motion and a separate set of economics. It is called EZvoxa Pro.</w:t>
      </w:r>
    </w:p>
    <w:p>
      <w:pPr>
        <w:pStyle w:val="Heading2"/>
        <w:spacing w:after="110" w:before="260"/>
      </w:pPr>
      <w:r>
        <w:rPr>
          <w:rFonts w:ascii="Calibri" w:cs="Calibri" w:eastAsia="Calibri" w:hAnsi="Calibri"/>
          <w:b/>
          <w:bCs/>
          <w:color w:val="10233F"/>
          <w:sz w:val="24"/>
          <w:szCs w:val="24"/>
        </w:rPr>
        <w:t xml:space="preserve">7.1 What it is and how it is licensed</w:t>
      </w:r>
    </w:p>
    <w:p>
      <w:pPr>
        <w:pStyle w:val="ListParagraph"/>
        <w:numPr>
          <w:ilvl w:val="0"/>
          <w:numId w:val="3"/>
        </w:numPr>
        <w:spacing w:after="90" w:line="276"/>
      </w:pPr>
      <w:r>
        <w:rPr>
          <w:rFonts w:ascii="Calibri" w:cs="Calibri" w:eastAsia="Calibri" w:hAnsi="Calibri"/>
          <w:color w:val="1B2333"/>
          <w:sz w:val="21"/>
          <w:szCs w:val="21"/>
        </w:rPr>
        <w:t xml:space="preserve">The same app with the family features stripped out and organization licensing added. No texting, no family alerts, no shared contacts, no location. Whether the emergency alert belongs in it is undecided.</w:t>
      </w:r>
    </w:p>
    <w:p>
      <w:pPr>
        <w:pStyle w:val="ListParagraph"/>
        <w:numPr>
          <w:ilvl w:val="0"/>
          <w:numId w:val="3"/>
        </w:numPr>
        <w:spacing w:after="90" w:line="276"/>
      </w:pPr>
      <w:r>
        <w:rPr>
          <w:rFonts w:ascii="Calibri" w:cs="Calibri" w:eastAsia="Calibri" w:hAnsi="Calibri"/>
          <w:color w:val="1B2333"/>
          <w:sz w:val="21"/>
          <w:szCs w:val="21"/>
        </w:rPr>
        <w:t xml:space="preserve">Sold per seat, perpetual. One seat is one device. No subscription, no renewal, no per student fee. Updates included, cut once or twice a year.</w:t>
      </w:r>
    </w:p>
    <w:p>
      <w:pPr>
        <w:pStyle w:val="ListParagraph"/>
        <w:numPr>
          <w:ilvl w:val="0"/>
          <w:numId w:val="3"/>
        </w:numPr>
        <w:spacing w:after="90" w:line="276"/>
      </w:pPr>
      <w:r>
        <w:rPr>
          <w:rFonts w:ascii="Calibri" w:cs="Calibri" w:eastAsia="Calibri" w:hAnsi="Calibri"/>
          <w:color w:val="1B2333"/>
          <w:sz w:val="21"/>
          <w:szCs w:val="21"/>
        </w:rPr>
        <w:t xml:space="preserve">Sold direct by the company, not through an app store. The owner’s reason, stated 8 September 2026: the ability to negotiate on the size of the purchase, which Apple’s pricing does not allow. So no store commission applies to these seats.</w:t>
      </w:r>
    </w:p>
    <w:p>
      <w:pPr>
        <w:pStyle w:val="ListParagraph"/>
        <w:numPr>
          <w:ilvl w:val="0"/>
          <w:numId w:val="3"/>
        </w:numPr>
        <w:spacing w:after="90" w:line="276"/>
      </w:pPr>
      <w:r>
        <w:rPr>
          <w:rFonts w:ascii="Calibri" w:cs="Calibri" w:eastAsia="Calibri" w:hAnsi="Calibri"/>
          <w:color w:val="1B2333"/>
          <w:sz w:val="21"/>
          <w:szCs w:val="21"/>
        </w:rPr>
        <w:t xml:space="preserve">Delivery still uses the stores. An unlisted App Store or Play listing reachable only by the district’s private link, or the web app for a district that cannot use a store, or a custom app through Apple School Manager for a district that insists. Devices shipped preconfigured are offered only if asked and are not priced.</w:t>
      </w:r>
    </w:p>
    <w:p>
      <w:pPr>
        <w:pStyle w:val="ListParagraph"/>
        <w:numPr>
          <w:ilvl w:val="0"/>
          <w:numId w:val="3"/>
        </w:numPr>
        <w:spacing w:after="90" w:line="276"/>
      </w:pPr>
      <w:r>
        <w:rPr>
          <w:rFonts w:ascii="Calibri" w:cs="Calibri" w:eastAsia="Calibri" w:hAnsi="Calibri"/>
          <w:color w:val="1B2333"/>
          <w:sz w:val="21"/>
          <w:szCs w:val="21"/>
        </w:rPr>
        <w:t xml:space="preserve">The license is an organization account plus join codes, built on the same machinery families already use. No student names and no student data on our servers, ever. That is a design rule, not a preference.</w:t>
      </w:r>
    </w:p>
    <w:p>
      <w:pPr>
        <w:pStyle w:val="Heading2"/>
        <w:spacing w:after="110" w:before="260"/>
      </w:pPr>
      <w:r>
        <w:rPr>
          <w:rFonts w:ascii="Calibri" w:cs="Calibri" w:eastAsia="Calibri" w:hAnsi="Calibri"/>
          <w:b/>
          <w:bCs/>
          <w:color w:val="10233F"/>
          <w:sz w:val="24"/>
          <w:szCs w:val="24"/>
        </w:rPr>
        <w:t xml:space="preserve">7.2 The buyer and the purchasing path</w:t>
      </w:r>
    </w:p>
    <w:p>
      <w:pPr>
        <w:spacing w:after="140" w:before="0" w:line="276"/>
      </w:pPr>
      <w:r>
        <w:rPr>
          <w:rFonts w:ascii="Calibri" w:cs="Calibri" w:eastAsia="Calibri" w:hAnsi="Calibri"/>
          <w:color w:val="1B2333"/>
          <w:sz w:val="21"/>
          <w:szCs w:val="21"/>
        </w:rPr>
        <w:t xml:space="preserve">The buyer is the district’s exceptional student education director and its purchasing office, not a school. Read from one Florida district’s own purchasing manual, which is the template for the rest: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Order size</w:t>
            </w:r>
          </w:p>
        </w:tc>
        <w:tc>
          <w:tcPr>
            <w:tcW w:type="dxa" w:w="705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the district must do</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Up to $10,000.00</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Good business practices. No written quotes required.</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$10,000.01 to $49,999.99</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Three written quotes.</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$50,000.01 and above</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formal sealed solicitation, and board approval for a sole source.</w:t>
            </w:r>
          </w:p>
        </w:tc>
      </w:tr>
    </w:tbl>
    <w:p>
      <w:pPr>
        <w:spacing w:after="100"/>
      </w:pPr>
    </w:p>
    <w:p>
      <w:pPr>
        <w:spacing w:after="140" w:before="0" w:line="276"/>
      </w:pPr>
      <w:r>
        <w:rPr>
          <w:rFonts w:ascii="Calibri" w:cs="Calibri" w:eastAsia="Calibri" w:hAnsi="Calibri"/>
          <w:color w:val="1B2333"/>
          <w:sz w:val="21"/>
          <w:szCs w:val="21"/>
        </w:rPr>
        <w:t xml:space="preserve">The exemption that matters more than the thresholds: Florida Administrative Code Rule 6A-1.012 exempts computer software bought directly from the copyright owner from competitive solicitation. EZ Voice LLC is the copyright owner. A sole source letter on company letterhead is the document a director attaches to the requisition. This is why copyright registration is a sales asset and not only a legal one.</w:t>
      </w:r>
    </w:p>
    <w:p>
      <w:pPr>
        <w:spacing w:after="140" w:before="0" w:line="276"/>
      </w:pPr>
      <w:r>
        <w:rPr>
          <w:rFonts w:ascii="Calibri" w:cs="Calibri" w:eastAsia="Calibri" w:hAnsi="Calibri"/>
          <w:color w:val="1B2333"/>
          <w:sz w:val="21"/>
          <w:szCs w:val="21"/>
        </w:rPr>
        <w:t xml:space="preserve">What a district needs from the vendor, from the same manual: a vendor application, a W-9, a certificate of insurance and a hold harmless agreement, an email address that receives electronic purchase orders, and invoices carrying the purchase order number. That district pays within 45 days of an approved invoice. A modeler should carry that as the collection lag.</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8A4B00" w:sz="18"/>
              <w:bottom w:val="none"/>
              <w:right w:val="none"/>
            </w:tcBorders>
            <w:shd w:fill="FDF6EC" w:color="auto" w:val="clear"/>
            <w:tcMar>
              <w:top w:type="dxa" w:w="160"/>
              <w:left w:type="dxa" w:w="200"/>
              <w:bottom w:type="dxa" w:w="160"/>
              <w:right w:type="dxa" w:w="200"/>
            </w:tcMar>
          </w:tcPr>
          <w:p>
            <w:pPr>
              <w:spacing w:after="0" w:before="0" w:line="276"/>
            </w:pPr>
            <w:r>
              <w:rPr>
                <w:rFonts w:ascii="Calibri" w:cs="Calibri" w:eastAsia="Calibri" w:hAnsi="Calibri"/>
                <w:color w:val="5A3A08"/>
                <w:sz w:val="20"/>
                <w:szCs w:val="20"/>
              </w:rPr>
              <w:t xml:space="preserve">Note on the federal micro-purchase threshold. A strategy page in the working files says orders must stay under $10,000 to avoid a board vote, citing it as a federal number. It is not. The federal micro-purchase threshold in the Federal Acquisition Regulation is $15,000, and the $10,000 figure is that one district’s own quote line. Use the district’s ladder above, and check each district separately.</w:t>
            </w:r>
          </w:p>
        </w:tc>
      </w:tr>
    </w:tbl>
    <w:p>
      <w:pPr>
        <w:pStyle w:val="Heading2"/>
        <w:spacing w:after="110" w:before="260"/>
      </w:pPr>
      <w:r>
        <w:rPr>
          <w:rFonts w:ascii="Calibri" w:cs="Calibri" w:eastAsia="Calibri" w:hAnsi="Calibri"/>
          <w:b/>
          <w:bCs/>
          <w:color w:val="10233F"/>
          <w:sz w:val="24"/>
          <w:szCs w:val="24"/>
        </w:rPr>
        <w:t xml:space="preserve">7.3 The counted institutional market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6"/>
        <w:gridCol w:w="1411"/>
        <w:gridCol w:w="4033"/>
      </w:tblGrid>
      <w:tr>
        <w:trPr>
          <w:tblHeader/>
        </w:trPr>
        <w:tc>
          <w:tcPr>
            <w:tcW w:type="dxa" w:w="46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is counted</w:t>
            </w:r>
          </w:p>
        </w:tc>
        <w:tc>
          <w:tcPr>
            <w:tcW w:type="dxa" w:w="1411"/>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Number</w:t>
            </w:r>
          </w:p>
        </w:tc>
        <w:tc>
          <w:tcPr>
            <w:tcW w:type="dxa" w:w="403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Source</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Regular public school districts, United States</w:t>
            </w:r>
          </w:p>
        </w:tc>
        <w:tc>
          <w:tcPr>
            <w:tcW w:type="dxa" w:w="141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13,349</w:t>
            </w:r>
          </w:p>
        </w:tc>
        <w:tc>
          <w:tcPr>
            <w:tcW w:type="dxa" w:w="40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National Center for Education Statistics, Digest table 214.30, 2019-20</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Students with autism aged 13 through 21, United States, 2024-25</w:t>
            </w:r>
          </w:p>
        </w:tc>
        <w:tc>
          <w:tcPr>
            <w:tcW w:type="dxa" w:w="141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386,380</w:t>
            </w:r>
          </w:p>
        </w:tc>
        <w:tc>
          <w:tcPr>
            <w:tcW w:type="dxa" w:w="40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US Department of Education, IDEA Section 618 Part B child count</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Of those, minimally verbal at 30%</w:t>
            </w:r>
          </w:p>
        </w:tc>
        <w:tc>
          <w:tcPr>
            <w:tcW w:type="dxa" w:w="141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115,914</w:t>
            </w:r>
          </w:p>
        </w:tc>
        <w:tc>
          <w:tcPr>
            <w:tcW w:type="dxa" w:w="40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federal count times the NIH-hosted share</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Implied counted seats per district, average</w:t>
            </w:r>
          </w:p>
        </w:tc>
        <w:tc>
          <w:tcPr>
            <w:tcW w:type="dxa" w:w="141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8.7</w:t>
            </w:r>
          </w:p>
        </w:tc>
        <w:tc>
          <w:tcPr>
            <w:tcW w:type="dxa" w:w="40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Arithmetic on the two lines above</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England, autism pupils with a plan aged 13 and over, minimally verbal</w:t>
            </w:r>
          </w:p>
        </w:tc>
        <w:tc>
          <w:tcPr>
            <w:tcW w:type="dxa" w:w="141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14,839</w:t>
            </w:r>
          </w:p>
        </w:tc>
        <w:tc>
          <w:tcPr>
            <w:tcW w:type="dxa" w:w="40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Department for Education data file, 30% applied</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Florida, students with autism aged 6 through 21</w:t>
            </w:r>
          </w:p>
        </w:tc>
        <w:tc>
          <w:tcPr>
            <w:tcW w:type="dxa" w:w="141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58,848</w:t>
            </w:r>
          </w:p>
        </w:tc>
        <w:tc>
          <w:tcPr>
            <w:tcW w:type="dxa" w:w="40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Federal state file, 2024</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Florida counted seats</w:t>
            </w:r>
          </w:p>
        </w:tc>
        <w:tc>
          <w:tcPr>
            <w:tcW w:type="dxa" w:w="141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6,137</w:t>
            </w:r>
          </w:p>
        </w:tc>
        <w:tc>
          <w:tcPr>
            <w:tcW w:type="dxa" w:w="40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Arithmetic</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One district, St. Lucie County, school age autism 2024-25</w:t>
            </w:r>
          </w:p>
        </w:tc>
        <w:tc>
          <w:tcPr>
            <w:tcW w:type="dxa" w:w="141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1,035</w:t>
            </w:r>
          </w:p>
        </w:tc>
        <w:tc>
          <w:tcPr>
            <w:tcW w:type="dxa" w:w="40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Federal district file</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That district’s counted seats</w:t>
            </w:r>
          </w:p>
        </w:tc>
        <w:tc>
          <w:tcPr>
            <w:tcW w:type="dxa" w:w="141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108</w:t>
            </w:r>
          </w:p>
        </w:tc>
        <w:tc>
          <w:tcPr>
            <w:tcW w:type="dxa" w:w="40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Arithmetic</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Medicare-certified inpatient rehabilitation facilities, United States</w:t>
            </w:r>
          </w:p>
        </w:tc>
        <w:tc>
          <w:tcPr>
            <w:tcW w:type="dxa" w:w="141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1,222</w:t>
            </w:r>
          </w:p>
        </w:tc>
        <w:tc>
          <w:tcPr>
            <w:tcW w:type="dxa" w:w="40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Centers for Medicare and Medicaid Services, Provider Data Catalog</w:t>
            </w:r>
          </w:p>
        </w:tc>
      </w:tr>
    </w:tbl>
    <w:p>
      <w:pPr>
        <w:spacing w:after="100"/>
      </w:pPr>
    </w:p>
    <w:p>
      <w:pPr>
        <w:spacing w:after="140" w:before="0" w:line="276"/>
      </w:pPr>
      <w:r>
        <w:rPr>
          <w:rFonts w:ascii="Calibri" w:cs="Calibri" w:eastAsia="Calibri" w:hAnsi="Calibri"/>
          <w:color w:val="1B2333"/>
          <w:sz w:val="21"/>
          <w:szCs w:val="21"/>
        </w:rPr>
        <w:t xml:space="preserve">What the district average hides: the seats sit in a district’s secondary schools and its eighteen to twenty-one transition program, two or three per classroom. So the sale is one district office order covering many schools, not a per school sale.</w:t>
      </w:r>
    </w:p>
    <w:p>
      <w:pPr>
        <w:spacing w:after="140" w:before="0" w:line="276"/>
      </w:pPr>
      <w:r>
        <w:rPr>
          <w:rFonts w:ascii="Calibri" w:cs="Calibri" w:eastAsia="Calibri" w:hAnsi="Calibri"/>
          <w:color w:val="1B2333"/>
          <w:sz w:val="21"/>
          <w:szCs w:val="21"/>
        </w:rPr>
        <w:t xml:space="preserve">Seats per facility on the clinical side, and seats per district order, are both estimates made in-house because nobody has sold one yet. They are listed in section 14 as inputs to be argued about.</w:t>
      </w:r>
    </w:p>
    <w:p>
      <w:pPr>
        <w:pStyle w:val="Heading2"/>
        <w:spacing w:after="110" w:before="260"/>
      </w:pPr>
      <w:r>
        <w:rPr>
          <w:rFonts w:ascii="Calibri" w:cs="Calibri" w:eastAsia="Calibri" w:hAnsi="Calibri"/>
          <w:b/>
          <w:bCs/>
          <w:color w:val="10233F"/>
          <w:sz w:val="24"/>
          <w:szCs w:val="24"/>
        </w:rPr>
        <w:t xml:space="preserve">7.4 What exists and what does not</w:t>
      </w:r>
    </w:p>
    <w:p>
      <w:pPr>
        <w:pStyle w:val="ListParagraph"/>
        <w:numPr>
          <w:ilvl w:val="0"/>
          <w:numId w:val="3"/>
        </w:numPr>
        <w:spacing w:after="90" w:line="276"/>
      </w:pPr>
      <w:r>
        <w:rPr>
          <w:rFonts w:ascii="Calibri" w:cs="Calibri" w:eastAsia="Calibri" w:hAnsi="Calibri"/>
          <w:color w:val="1B2333"/>
          <w:sz w:val="21"/>
          <w:szCs w:val="21"/>
        </w:rPr>
        <w:t xml:space="preserve">Exists: a live schools and clinics page on the website with a quote form and a pilot form, an inbox that shows requests, the purchasing terms above written out, and a referral program described.</w:t>
      </w:r>
    </w:p>
    <w:p>
      <w:pPr>
        <w:pStyle w:val="ListParagraph"/>
        <w:numPr>
          <w:ilvl w:val="0"/>
          <w:numId w:val="3"/>
        </w:numPr>
        <w:spacing w:after="90" w:line="276"/>
      </w:pPr>
      <w:r>
        <w:rPr>
          <w:rFonts w:ascii="Calibri" w:cs="Calibri" w:eastAsia="Calibri" w:hAnsi="Calibri"/>
          <w:color w:val="1B2333"/>
          <w:sz w:val="21"/>
          <w:szCs w:val="21"/>
        </w:rPr>
        <w:t xml:space="preserve">Does not exist: the portal itself. Organization accounts, join codes, seat counting and the device list are designed and approved but not built. The page currently describes a system to districts that has not been written.</w:t>
      </w:r>
    </w:p>
    <w:p>
      <w:pPr>
        <w:pStyle w:val="ListParagraph"/>
        <w:numPr>
          <w:ilvl w:val="0"/>
          <w:numId w:val="3"/>
        </w:numPr>
        <w:spacing w:after="90" w:line="276"/>
      </w:pPr>
      <w:r>
        <w:rPr>
          <w:rFonts w:ascii="Calibri" w:cs="Calibri" w:eastAsia="Calibri" w:hAnsi="Calibri"/>
          <w:color w:val="1B2333"/>
          <w:sz w:val="21"/>
          <w:szCs w:val="21"/>
        </w:rPr>
        <w:t xml:space="preserve">Does not exist: the Pro build, its store listing, its icon, and any order path on the website beyond the quote form.</w:t>
      </w:r>
    </w:p>
    <w:p>
      <w:pPr>
        <w:pStyle w:val="ListParagraph"/>
        <w:numPr>
          <w:ilvl w:val="0"/>
          <w:numId w:val="3"/>
        </w:numPr>
        <w:spacing w:after="90" w:line="276"/>
      </w:pPr>
      <w:r>
        <w:rPr>
          <w:rFonts w:ascii="Calibri" w:cs="Calibri" w:eastAsia="Calibri" w:hAnsi="Calibri"/>
          <w:color w:val="1B2333"/>
          <w:sz w:val="21"/>
          <w:szCs w:val="21"/>
        </w:rPr>
        <w:t xml:space="preserve">Unverified: the two Florida agency routes named in the rollout plan, the demonstration center network and the state assistive technology lending library. Neither organization’s site could be opened, so whether either lends software or admits a vendor is unknown. The conference plan is likewise uncosted.</w:t>
      </w:r>
    </w:p>
    <w:p>
      <w:pPr>
        <w:pStyle w:val="ListParagraph"/>
        <w:numPr>
          <w:ilvl w:val="0"/>
          <w:numId w:val="3"/>
        </w:numPr>
        <w:spacing w:after="90" w:line="276"/>
      </w:pPr>
      <w:r>
        <w:rPr>
          <w:rFonts w:ascii="Calibri" w:cs="Calibri" w:eastAsia="Calibri" w:hAnsi="Calibri"/>
          <w:color w:val="1B2333"/>
          <w:sz w:val="21"/>
          <w:szCs w:val="21"/>
        </w:rPr>
        <w:t xml:space="preserve">Unverified: the claim that these purchases are made with federal special education funds. The federal sites refused the request. The only funding statute actually read is the Florida state allocation.</w:t>
      </w:r>
    </w:p>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8. The market: how many people cannot rely on speech</w:t>
      </w:r>
    </w:p>
    <w:p>
      <w:pPr>
        <w:spacing w:after="140" w:before="0" w:line="276"/>
      </w:pPr>
      <w:r>
        <w:rPr>
          <w:rFonts w:ascii="Calibri" w:cs="Calibri" w:eastAsia="Calibri" w:hAnsi="Calibri"/>
          <w:color w:val="1B2333"/>
          <w:sz w:val="21"/>
          <w:szCs w:val="21"/>
        </w:rPr>
        <w:t xml:space="preserve">The market was counted from the ground up rather than taken from an industry report. Six English-language countries where both stores sell paid apps and subscriptions: the United States, the United Kingdom, Canada, Australia, New Zealand and Ireland. Everyone aged thirteen and over, because that is the product’s user.</w:t>
      </w:r>
    </w:p>
    <w:p>
      <w:pPr>
        <w:spacing w:after="140" w:before="0" w:line="276"/>
      </w:pPr>
      <w:r>
        <w:rPr>
          <w:rFonts w:ascii="Calibri" w:cs="Calibri" w:eastAsia="Calibri" w:hAnsi="Calibri"/>
          <w:color w:val="1B2333"/>
          <w:sz w:val="21"/>
          <w:szCs w:val="21"/>
        </w:rPr>
        <w:t xml:space="preserve">Two conditions are counted, because those are the two where a government body or NIH-hosted research publishes a number: autism with minimal speech, and aphasia.</w:t>
      </w:r>
    </w:p>
    <w:p>
      <w:pPr>
        <w:pStyle w:val="Heading2"/>
        <w:spacing w:after="110" w:before="260"/>
      </w:pPr>
      <w:r>
        <w:rPr>
          <w:rFonts w:ascii="Calibri" w:cs="Calibri" w:eastAsia="Calibri" w:hAnsi="Calibri"/>
          <w:b/>
          <w:bCs/>
          <w:color w:val="10233F"/>
          <w:sz w:val="24"/>
          <w:szCs w:val="24"/>
        </w:rPr>
        <w:t xml:space="preserve">8.1 The arithmetic, step by step</w:t>
      </w:r>
    </w:p>
    <w:p>
      <w:pPr>
        <w:pStyle w:val="ListParagraph"/>
        <w:numPr>
          <w:ilvl w:val="0"/>
          <w:numId w:val="2"/>
        </w:numPr>
        <w:spacing w:after="90" w:line="276"/>
      </w:pPr>
      <w:r>
        <w:rPr>
          <w:rFonts w:ascii="Calibri" w:cs="Calibri" w:eastAsia="Calibri" w:hAnsi="Calibri"/>
          <w:color w:val="1B2333"/>
          <w:sz w:val="21"/>
          <w:szCs w:val="21"/>
        </w:rPr>
        <w:t xml:space="preserve">Population aged thirteen and over, from each country’s own statistics office.</w:t>
      </w:r>
    </w:p>
    <w:p>
      <w:pPr>
        <w:pStyle w:val="ListParagraph"/>
        <w:numPr>
          <w:ilvl w:val="0"/>
          <w:numId w:val="2"/>
        </w:numPr>
        <w:spacing w:after="90" w:line="276"/>
      </w:pPr>
      <w:r>
        <w:rPr>
          <w:rFonts w:ascii="Calibri" w:cs="Calibri" w:eastAsia="Calibri" w:hAnsi="Calibri"/>
          <w:color w:val="1B2333"/>
          <w:sz w:val="21"/>
          <w:szCs w:val="21"/>
        </w:rPr>
        <w:t xml:space="preserve">Autism. In the United States, the CDC rate of about one in thirty-one is applied to thirteen to seventeen year olds and the World Health Organization rate of about one in one hundred twenty-seven to adults. Elsewhere the WHO rate is applied to everyone thirteen and over.</w:t>
      </w:r>
    </w:p>
    <w:p>
      <w:pPr>
        <w:pStyle w:val="ListParagraph"/>
        <w:numPr>
          <w:ilvl w:val="0"/>
          <w:numId w:val="2"/>
        </w:numPr>
        <w:spacing w:after="90" w:line="276"/>
      </w:pPr>
      <w:r>
        <w:rPr>
          <w:rFonts w:ascii="Calibri" w:cs="Calibri" w:eastAsia="Calibri" w:hAnsi="Calibri"/>
          <w:color w:val="1B2333"/>
          <w:sz w:val="21"/>
          <w:szCs w:val="21"/>
        </w:rPr>
        <w:t xml:space="preserve">Of those, thirty percent are minimally verbal, from NIH-hosted research.</w:t>
      </w:r>
    </w:p>
    <w:p>
      <w:pPr>
        <w:pStyle w:val="ListParagraph"/>
        <w:numPr>
          <w:ilvl w:val="0"/>
          <w:numId w:val="2"/>
        </w:numPr>
        <w:spacing w:after="90" w:line="276"/>
      </w:pPr>
      <w:r>
        <w:rPr>
          <w:rFonts w:ascii="Calibri" w:cs="Calibri" w:eastAsia="Calibri" w:hAnsi="Calibri"/>
          <w:color w:val="1B2333"/>
          <w:sz w:val="21"/>
          <w:szCs w:val="21"/>
        </w:rPr>
        <w:t xml:space="preserve">Aphasia. Two million in the United States, from the National Institute on Deafness and Other Communication Disorders. The same rate per head is applied to the other five countries.</w:t>
      </w:r>
    </w:p>
    <w:p>
      <w:pPr>
        <w:pStyle w:val="ListParagraph"/>
        <w:numPr>
          <w:ilvl w:val="0"/>
          <w:numId w:val="2"/>
        </w:numPr>
        <w:spacing w:after="90" w:line="276"/>
      </w:pPr>
      <w:r>
        <w:rPr>
          <w:rFonts w:ascii="Calibri" w:cs="Calibri" w:eastAsia="Calibri" w:hAnsi="Calibri"/>
          <w:color w:val="1B2333"/>
          <w:sz w:val="21"/>
          <w:szCs w:val="21"/>
        </w:rPr>
        <w:t xml:space="preserve">Add the two. Stroke is deliberately not counted separately, because aphasia is the speech-loss part of stroke and counting both would double count.</w:t>
      </w:r>
    </w:p>
    <w:p>
      <w:pPr>
        <w:pStyle w:val="Heading2"/>
        <w:spacing w:after="110" w:before="260"/>
      </w:pPr>
      <w:r>
        <w:rPr>
          <w:rFonts w:ascii="Calibri" w:cs="Calibri" w:eastAsia="Calibri" w:hAnsi="Calibri"/>
          <w:b/>
          <w:bCs/>
          <w:color w:val="10233F"/>
          <w:sz w:val="24"/>
          <w:szCs w:val="24"/>
        </w:rPr>
        <w:t xml:space="preserve">8.2 The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016"/>
        <w:gridCol w:w="2016"/>
        <w:gridCol w:w="1814"/>
        <w:gridCol w:w="1815"/>
      </w:tblGrid>
      <w:tr>
        <w:trPr>
          <w:tblHeader/>
        </w:trPr>
        <w:tc>
          <w:tcPr>
            <w:tcW w:type="dxa" w:w="241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Country</w:t>
            </w:r>
          </w:p>
        </w:tc>
        <w:tc>
          <w:tcPr>
            <w:tcW w:type="dxa" w:w="201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Aged 13 and over</w:t>
            </w:r>
          </w:p>
        </w:tc>
        <w:tc>
          <w:tcPr>
            <w:tcW w:type="dxa" w:w="201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Autism, minimally verbal</w:t>
            </w:r>
          </w:p>
        </w:tc>
        <w:tc>
          <w:tcPr>
            <w:tcW w:type="dxa" w:w="181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Aphasia</w:t>
            </w:r>
          </w:p>
        </w:tc>
        <w:tc>
          <w:tcPr>
            <w:tcW w:type="dxa" w:w="1815"/>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Cannot rely on speech</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United States</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288,872,301</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842,533</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2,000,000</w:t>
            </w:r>
          </w:p>
        </w:tc>
        <w:tc>
          <w:tcPr>
            <w:tcW w:type="dxa" w:w="181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2,842,533</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United Kingdom</w:t>
            </w:r>
          </w:p>
        </w:tc>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59,222,071</w:t>
            </w:r>
          </w:p>
        </w:tc>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139,894</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410,022</w:t>
            </w:r>
          </w:p>
        </w:tc>
        <w:tc>
          <w:tcPr>
            <w:tcW w:type="dxa" w:w="181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549,917</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Canada</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35,403,905</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83,631</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245,118</w:t>
            </w:r>
          </w:p>
        </w:tc>
        <w:tc>
          <w:tcPr>
            <w:tcW w:type="dxa" w:w="181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328,749</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Australia</w:t>
            </w:r>
          </w:p>
        </w:tc>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23,482,317</w:t>
            </w:r>
          </w:p>
        </w:tc>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55,470</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162,579</w:t>
            </w:r>
          </w:p>
        </w:tc>
        <w:tc>
          <w:tcPr>
            <w:tcW w:type="dxa" w:w="181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218,049</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New Zealand</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4,525,995</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10,691</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31,336</w:t>
            </w:r>
          </w:p>
        </w:tc>
        <w:tc>
          <w:tcPr>
            <w:tcW w:type="dxa" w:w="181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42,027</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Ireland</w:t>
            </w:r>
          </w:p>
        </w:tc>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4,684,040</w:t>
            </w:r>
          </w:p>
        </w:tc>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11,065</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32,430</w:t>
            </w:r>
          </w:p>
        </w:tc>
        <w:tc>
          <w:tcPr>
            <w:tcW w:type="dxa" w:w="181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43,494</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Six countries</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416,190,629</w:t>
            </w:r>
          </w:p>
        </w:tc>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1,143,285</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2,881,485</w:t>
            </w:r>
          </w:p>
        </w:tc>
        <w:tc>
          <w:tcPr>
            <w:tcW w:type="dxa" w:w="181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4,024,770</w:t>
            </w:r>
          </w:p>
        </w:tc>
      </w:tr>
    </w:tbl>
    <w:p>
      <w:pPr>
        <w:spacing w:after="100"/>
      </w:pPr>
    </w:p>
    <w:p>
      <w:pPr>
        <w:spacing w:after="140" w:before="0" w:line="276"/>
      </w:pPr>
      <w:r>
        <w:rPr>
          <w:rFonts w:ascii="Calibri" w:cs="Calibri" w:eastAsia="Calibri" w:hAnsi="Calibri"/>
          <w:color w:val="1B2333"/>
          <w:sz w:val="21"/>
          <w:szCs w:val="21"/>
        </w:rPr>
        <w:t xml:space="preserve">Institutional counts alongside that: 130,753 counted school seats in the United States and England, and 1,222 counted rehabilitation facilities in the United States.</w:t>
      </w:r>
    </w:p>
    <w:p>
      <w:pPr>
        <w:pStyle w:val="Heading2"/>
        <w:spacing w:after="110" w:before="260"/>
      </w:pPr>
      <w:r>
        <w:rPr>
          <w:rFonts w:ascii="Calibri" w:cs="Calibri" w:eastAsia="Calibri" w:hAnsi="Calibri"/>
          <w:b/>
          <w:bCs/>
          <w:color w:val="10233F"/>
          <w:sz w:val="24"/>
          <w:szCs w:val="24"/>
        </w:rPr>
        <w:t xml:space="preserve">8.3 The honest caveats</w:t>
      </w:r>
    </w:p>
    <w:p>
      <w:pPr>
        <w:pStyle w:val="ListParagraph"/>
        <w:numPr>
          <w:ilvl w:val="0"/>
          <w:numId w:val="3"/>
        </w:numPr>
        <w:spacing w:after="90" w:line="276"/>
      </w:pPr>
      <w:r>
        <w:rPr>
          <w:rFonts w:ascii="Calibri" w:cs="Calibri" w:eastAsia="Calibri" w:hAnsi="Calibri"/>
          <w:color w:val="1B2333"/>
          <w:sz w:val="21"/>
          <w:szCs w:val="21"/>
        </w:rPr>
        <w:t xml:space="preserve">The CDC rate is measured in eight year olds and applied to thirteen to seventeen year olds. It is the only United States childhood rate the CDC publishes.</w:t>
      </w:r>
    </w:p>
    <w:p>
      <w:pPr>
        <w:pStyle w:val="ListParagraph"/>
        <w:numPr>
          <w:ilvl w:val="0"/>
          <w:numId w:val="3"/>
        </w:numPr>
        <w:spacing w:after="90" w:line="276"/>
      </w:pPr>
      <w:r>
        <w:rPr>
          <w:rFonts w:ascii="Calibri" w:cs="Calibri" w:eastAsia="Calibri" w:hAnsi="Calibri"/>
          <w:color w:val="1B2333"/>
          <w:sz w:val="21"/>
          <w:szCs w:val="21"/>
        </w:rPr>
        <w:t xml:space="preserve">The thirty percent minimally verbal share comes from research on school-aged children and is applied to adults as well.</w:t>
      </w:r>
    </w:p>
    <w:p>
      <w:pPr>
        <w:pStyle w:val="ListParagraph"/>
        <w:numPr>
          <w:ilvl w:val="0"/>
          <w:numId w:val="3"/>
        </w:numPr>
        <w:spacing w:after="90" w:line="276"/>
      </w:pPr>
      <w:r>
        <w:rPr>
          <w:rFonts w:ascii="Calibri" w:cs="Calibri" w:eastAsia="Calibri" w:hAnsi="Calibri"/>
          <w:color w:val="1B2333"/>
          <w:sz w:val="21"/>
          <w:szCs w:val="21"/>
        </w:rPr>
        <w:t xml:space="preserve">Aphasia outside the United States is the United States rate per head, not a national source.</w:t>
      </w:r>
    </w:p>
    <w:p>
      <w:pPr>
        <w:pStyle w:val="ListParagraph"/>
        <w:numPr>
          <w:ilvl w:val="0"/>
          <w:numId w:val="3"/>
        </w:numPr>
        <w:spacing w:after="90" w:line="276"/>
      </w:pPr>
      <w:r>
        <w:rPr>
          <w:rFonts w:ascii="Calibri" w:cs="Calibri" w:eastAsia="Calibri" w:hAnsi="Calibri"/>
          <w:color w:val="1B2333"/>
          <w:sz w:val="21"/>
          <w:szCs w:val="21"/>
        </w:rPr>
        <w:t xml:space="preserve">Canada’s figure is really fifteen and over, so it is slightly low. New Zealand’s age split is an eighty-five percent placeholder, cross-checked against the other four countries which land between 84.8 and 85.5 percent.</w:t>
      </w:r>
    </w:p>
    <w:p>
      <w:pPr>
        <w:pStyle w:val="ListParagraph"/>
        <w:numPr>
          <w:ilvl w:val="0"/>
          <w:numId w:val="3"/>
        </w:numPr>
        <w:spacing w:after="90" w:line="276"/>
      </w:pPr>
      <w:r>
        <w:rPr>
          <w:rFonts w:ascii="Calibri" w:cs="Calibri" w:eastAsia="Calibri" w:hAnsi="Calibri"/>
          <w:color w:val="1B2333"/>
          <w:sz w:val="21"/>
          <w:szCs w:val="21"/>
        </w:rPr>
        <w:t xml:space="preserve">No de-duplication is applied between the two conditions.</w:t>
      </w:r>
    </w:p>
    <w:p>
      <w:pPr>
        <w:pStyle w:val="Heading2"/>
        <w:spacing w:after="110" w:before="260"/>
      </w:pPr>
      <w:r>
        <w:rPr>
          <w:rFonts w:ascii="Calibri" w:cs="Calibri" w:eastAsia="Calibri" w:hAnsi="Calibri"/>
          <w:b/>
          <w:bCs/>
          <w:color w:val="10233F"/>
          <w:sz w:val="24"/>
          <w:szCs w:val="24"/>
        </w:rPr>
        <w:t xml:space="preserve">8.4 What was deliberately left out</w:t>
      </w:r>
    </w:p>
    <w:p>
      <w:pPr>
        <w:spacing w:after="140" w:before="0" w:line="276"/>
      </w:pPr>
      <w:r>
        <w:rPr>
          <w:rFonts w:ascii="Calibri" w:cs="Calibri" w:eastAsia="Calibri" w:hAnsi="Calibri"/>
          <w:color w:val="1B2333"/>
          <w:sz w:val="21"/>
          <w:szCs w:val="21"/>
        </w:rPr>
        <w:t xml:space="preserve">All of this is upside that carries no number, and none of it is in the count above:</w:t>
      </w:r>
    </w:p>
    <w:p>
      <w:pPr>
        <w:pStyle w:val="ListParagraph"/>
        <w:numPr>
          <w:ilvl w:val="0"/>
          <w:numId w:val="3"/>
        </w:numPr>
        <w:spacing w:after="90" w:line="276"/>
      </w:pPr>
      <w:r>
        <w:rPr>
          <w:rFonts w:ascii="Calibri" w:cs="Calibri" w:eastAsia="Calibri" w:hAnsi="Calibri"/>
          <w:color w:val="1B2333"/>
          <w:sz w:val="21"/>
          <w:szCs w:val="21"/>
        </w:rPr>
        <w:t xml:space="preserve">Every other English-language store country. Apple lists India, Nigeria, the Philippines, South Africa and Singapore among many others with English as the default store language.</w:t>
      </w:r>
    </w:p>
    <w:p>
      <w:pPr>
        <w:pStyle w:val="ListParagraph"/>
        <w:numPr>
          <w:ilvl w:val="0"/>
          <w:numId w:val="3"/>
        </w:numPr>
        <w:spacing w:after="90" w:line="276"/>
      </w:pPr>
      <w:r>
        <w:rPr>
          <w:rFonts w:ascii="Calibri" w:cs="Calibri" w:eastAsia="Calibri" w:hAnsi="Calibri"/>
          <w:color w:val="1B2333"/>
          <w:sz w:val="21"/>
          <w:szCs w:val="21"/>
        </w:rPr>
        <w:t xml:space="preserve">Cerebral palsy, Down syndrome in adults, ALS, Parkinson’s with speech loss, dementia with speech loss, traumatic brain injury, laryngectomy. Excluded because no entity publishes a speech-loss count for them. A search-engine summary offering such figures was rejected because its sources were charities and a search engine.</w:t>
      </w:r>
    </w:p>
    <w:p>
      <w:pPr>
        <w:pStyle w:val="ListParagraph"/>
        <w:numPr>
          <w:ilvl w:val="0"/>
          <w:numId w:val="3"/>
        </w:numPr>
        <w:spacing w:after="90" w:line="276"/>
      </w:pPr>
      <w:r>
        <w:rPr>
          <w:rFonts w:ascii="Calibri" w:cs="Calibri" w:eastAsia="Calibri" w:hAnsi="Calibri"/>
          <w:color w:val="1B2333"/>
          <w:sz w:val="21"/>
          <w:szCs w:val="21"/>
        </w:rPr>
        <w:t xml:space="preserve">Apraxia of speech, which is the owner’s own son’s diagnosis, has no counted prevalence figure in the working files at all.</w:t>
      </w:r>
    </w:p>
    <w:p>
      <w:pPr>
        <w:pStyle w:val="ListParagraph"/>
        <w:numPr>
          <w:ilvl w:val="0"/>
          <w:numId w:val="3"/>
        </w:numPr>
        <w:spacing w:after="90" w:line="276"/>
      </w:pPr>
      <w:r>
        <w:rPr>
          <w:rFonts w:ascii="Calibri" w:cs="Calibri" w:eastAsia="Calibri" w:hAnsi="Calibri"/>
          <w:color w:val="1B2333"/>
          <w:sz w:val="21"/>
          <w:szCs w:val="21"/>
        </w:rPr>
        <w:t xml:space="preserve">Undiagnosed and misdiagnosed people. No source gives a multiplier, so none was applied.</w:t>
      </w:r>
    </w:p>
    <w:p>
      <w:pPr>
        <w:pStyle w:val="ListParagraph"/>
        <w:numPr>
          <w:ilvl w:val="0"/>
          <w:numId w:val="3"/>
        </w:numPr>
        <w:spacing w:after="90" w:line="276"/>
      </w:pPr>
      <w:r>
        <w:rPr>
          <w:rFonts w:ascii="Calibri" w:cs="Calibri" w:eastAsia="Calibri" w:hAnsi="Calibri"/>
          <w:color w:val="1B2333"/>
          <w:sz w:val="21"/>
          <w:szCs w:val="21"/>
        </w:rPr>
        <w:t xml:space="preserve">Special education outside the United States and England, and clinical facilities outside the United States.</w:t>
      </w:r>
    </w:p>
    <w:p>
      <w:pPr>
        <w:pStyle w:val="ListParagraph"/>
        <w:numPr>
          <w:ilvl w:val="0"/>
          <w:numId w:val="3"/>
        </w:numPr>
        <w:spacing w:after="90" w:line="276"/>
      </w:pPr>
      <w:r>
        <w:rPr>
          <w:rFonts w:ascii="Calibri" w:cs="Calibri" w:eastAsia="Calibri" w:hAnsi="Calibri"/>
          <w:color w:val="1B2333"/>
          <w:sz w:val="21"/>
          <w:szCs w:val="21"/>
        </w:rPr>
        <w:t xml:space="preserve">The dedicated hardware device market, excluded by the owner’s instruction.</w:t>
      </w:r>
    </w:p>
    <w:p>
      <w:pPr>
        <w:spacing w:after="80"/>
      </w:pP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10233F" w:sz="18"/>
              <w:bottom w:val="none"/>
              <w:right w:val="none"/>
            </w:tcBorders>
            <w:shd w:fill="EEF2F8" w:color="auto" w:val="clear"/>
            <w:tcMar>
              <w:top w:type="dxa" w:w="160"/>
              <w:left w:type="dxa" w:w="200"/>
              <w:bottom w:type="dxa" w:w="160"/>
              <w:right w:type="dxa" w:w="200"/>
            </w:tcMar>
          </w:tcPr>
          <w:p>
            <w:pPr>
              <w:spacing w:after="0" w:before="0" w:line="276"/>
            </w:pPr>
            <w:r>
              <w:rPr>
                <w:rFonts w:ascii="Calibri" w:cs="Calibri" w:eastAsia="Calibri" w:hAnsi="Calibri"/>
                <w:color w:val="25304A"/>
                <w:sz w:val="20"/>
                <w:szCs w:val="20"/>
              </w:rPr>
              <w:t xml:space="preserve">One industry estimate exists and is worth knowing, with its provenance attached. Dynavox Group, the only public company in this industry, states in its own 2024 annual report that it estimates 50 million people globally need assistive communication, that about 2 million people a year are diagnosed with a condition requiring it, and that of those diagnosed only about 2 percent get access to a solution. That is a company estimate in an annual report, not a government figure, and should be labeled that way if it is reused.</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9. The count went up. The products did not.</w:t>
      </w:r>
    </w:p>
    <w:p>
      <w:pPr>
        <w:spacing w:after="140" w:before="0" w:line="276"/>
      </w:pPr>
      <w:r>
        <w:rPr>
          <w:rFonts w:ascii="Calibri" w:cs="Calibri" w:eastAsia="Calibri" w:hAnsi="Calibri"/>
          <w:color w:val="1B2333"/>
          <w:sz w:val="21"/>
          <w:szCs w:val="21"/>
        </w:rPr>
        <w:t xml:space="preserve">This is the single most important slide in any pitch built from this document, and every number in it comes from a government body or from Apple’s own records.</w:t>
      </w:r>
    </w:p>
    <w:p>
      <w:pPr>
        <w:pStyle w:val="Heading2"/>
        <w:spacing w:after="110" w:before="260"/>
      </w:pPr>
      <w:r>
        <w:rPr>
          <w:rFonts w:ascii="Calibri" w:cs="Calibri" w:eastAsia="Calibri" w:hAnsi="Calibri"/>
          <w:b/>
          <w:bCs/>
          <w:color w:val="10233F"/>
          <w:sz w:val="24"/>
          <w:szCs w:val="24"/>
        </w:rPr>
        <w:t xml:space="preserve">9.1 Autism identification over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427"/>
        <w:gridCol w:w="1814"/>
        <w:gridCol w:w="3831"/>
      </w:tblGrid>
      <w:tr>
        <w:trPr>
          <w:tblHeader/>
        </w:trPr>
        <w:tc>
          <w:tcPr>
            <w:tcW w:type="dxa" w:w="1008"/>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Year</w:t>
            </w:r>
          </w:p>
        </w:tc>
        <w:tc>
          <w:tcPr>
            <w:tcW w:type="dxa" w:w="342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CDC: autism identified among 8 year olds, per 1,000</w:t>
            </w:r>
          </w:p>
        </w:tc>
        <w:tc>
          <w:tcPr>
            <w:tcW w:type="dxa" w:w="181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Expressed as</w:t>
            </w:r>
          </w:p>
        </w:tc>
        <w:tc>
          <w:tcPr>
            <w:tcW w:type="dxa" w:w="3831"/>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Students under the federal autism category</w:t>
            </w:r>
          </w:p>
        </w:tc>
      </w:tr>
      <w:tr>
        <w:tc>
          <w:tcPr>
            <w:tcW w:type="dxa" w:w="1008"/>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2000</w:t>
            </w:r>
          </w:p>
        </w:tc>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6.7</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 in 150</w:t>
            </w:r>
          </w:p>
        </w:tc>
        <w:tc>
          <w:tcPr>
            <w:tcW w:type="dxa" w:w="383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93,000 (2000-01)</w:t>
            </w:r>
          </w:p>
        </w:tc>
      </w:tr>
      <w:tr>
        <w:tc>
          <w:tcPr>
            <w:tcW w:type="dxa" w:w="1008"/>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2008</w:t>
            </w:r>
          </w:p>
        </w:tc>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11.3</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 in 88</w:t>
            </w:r>
          </w:p>
        </w:tc>
        <w:tc>
          <w:tcPr>
            <w:tcW w:type="dxa" w:w="383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336,000 (2008-09)</w:t>
            </w:r>
          </w:p>
        </w:tc>
      </w:tr>
      <w:tr>
        <w:tc>
          <w:tcPr>
            <w:tcW w:type="dxa" w:w="1008"/>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2012</w:t>
            </w:r>
          </w:p>
        </w:tc>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14.5</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 in 69</w:t>
            </w:r>
          </w:p>
        </w:tc>
        <w:tc>
          <w:tcPr>
            <w:tcW w:type="dxa" w:w="383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498,000 (2012-13)</w:t>
            </w:r>
          </w:p>
        </w:tc>
      </w:tr>
      <w:tr>
        <w:tc>
          <w:tcPr>
            <w:tcW w:type="dxa" w:w="1008"/>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2016</w:t>
            </w:r>
          </w:p>
        </w:tc>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18.5</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 in 54</w:t>
            </w:r>
          </w:p>
        </w:tc>
        <w:tc>
          <w:tcPr>
            <w:tcW w:type="dxa" w:w="383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661,000 (2016-17)</w:t>
            </w:r>
          </w:p>
        </w:tc>
      </w:tr>
      <w:tr>
        <w:tc>
          <w:tcPr>
            <w:tcW w:type="dxa" w:w="1008"/>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2020</w:t>
            </w:r>
          </w:p>
        </w:tc>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27.6</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 in 36</w:t>
            </w:r>
          </w:p>
        </w:tc>
        <w:tc>
          <w:tcPr>
            <w:tcW w:type="dxa" w:w="383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
            </w:r>
          </w:p>
        </w:tc>
      </w:tr>
      <w:tr>
        <w:tc>
          <w:tcPr>
            <w:tcW w:type="dxa" w:w="1008"/>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2022</w:t>
            </w:r>
          </w:p>
        </w:tc>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32.2</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 in 31</w:t>
            </w:r>
          </w:p>
        </w:tc>
        <w:tc>
          <w:tcPr>
            <w:tcW w:type="dxa" w:w="383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980,000 (2022-23)</w:t>
            </w:r>
          </w:p>
        </w:tc>
      </w:tr>
    </w:tbl>
    <w:p>
      <w:pPr>
        <w:spacing w:after="100"/>
      </w:pPr>
    </w:p>
    <w:p>
      <w:pPr>
        <w:spacing w:after="140" w:before="0" w:line="276"/>
      </w:pPr>
      <w:r>
        <w:rPr>
          <w:rFonts w:ascii="Calibri" w:cs="Calibri" w:eastAsia="Calibri" w:hAnsi="Calibri"/>
          <w:color w:val="1B2333"/>
          <w:sz w:val="21"/>
          <w:szCs w:val="21"/>
        </w:rPr>
        <w:t xml:space="preserve">Rate sources: the CDC’s Autism and Developmental Disabilities Monitoring Network. Student counts: National Center for Education Statistics, Digest table 204.30.</w:t>
      </w:r>
    </w:p>
    <w:p>
      <w:pPr>
        <w:spacing w:after="140" w:before="0" w:line="276"/>
      </w:pPr>
      <w:r>
        <w:rPr>
          <w:rFonts w:ascii="Calibri" w:cs="Calibri" w:eastAsia="Calibri" w:hAnsi="Calibri"/>
          <w:color w:val="1B2333"/>
          <w:sz w:val="21"/>
          <w:szCs w:val="21"/>
        </w:rPr>
        <w:t xml:space="preserve">The identified school-age autism population is 2.9 times what it was when the incumbent apps launched, and 10.5 times the 2000 figure. Over the same span the United States population rose 18.7 percent, from 281,421,906 in the 2000 Census to an estimated 334,017,321 in 2022. Population growth explains almost none of it.</w:t>
      </w:r>
    </w:p>
    <w:p>
      <w:pPr>
        <w:pStyle w:val="Heading3"/>
        <w:spacing w:after="90" w:before="200"/>
      </w:pPr>
      <w:r>
        <w:rPr>
          <w:rFonts w:ascii="Calibri" w:cs="Calibri" w:eastAsia="Calibri" w:hAnsi="Calibri"/>
          <w:b/>
          <w:bCs/>
          <w:color w:val="44506A"/>
          <w:sz w:val="21"/>
          <w:szCs w:val="21"/>
        </w:rPr>
        <w:t xml:space="preserve">The same thing at state and district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217"/>
        <w:gridCol w:w="2217"/>
        <w:gridCol w:w="2219"/>
      </w:tblGrid>
      <w:tr>
        <w:trPr>
          <w:tblHeader/>
        </w:trPr>
        <w:tc>
          <w:tcPr>
            <w:tcW w:type="dxa" w:w="342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Where</w:t>
            </w:r>
          </w:p>
        </w:tc>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Then</w:t>
            </w:r>
          </w:p>
        </w:tc>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Now</w:t>
            </w:r>
          </w:p>
        </w:tc>
        <w:tc>
          <w:tcPr>
            <w:tcW w:type="dxa" w:w="221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Change</w:t>
            </w:r>
          </w:p>
        </w:tc>
      </w:tr>
      <w:tr>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Florida, students with autism aged 6 through 21</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7,918 in 2005</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58,848 in 2024</w:t>
            </w:r>
          </w:p>
        </w:tc>
        <w:tc>
          <w:tcPr>
            <w:tcW w:type="dxa" w:w="22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7.4 times</w:t>
            </w:r>
          </w:p>
        </w:tc>
      </w:tr>
      <w:tr>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Florida, all disabilities, same ages</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364,566 in 2005</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406,711 in 2024</w:t>
            </w:r>
          </w:p>
        </w:tc>
        <w:tc>
          <w:tcPr>
            <w:tcW w:type="dxa" w:w="22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up 12%</w:t>
            </w:r>
          </w:p>
        </w:tc>
      </w:tr>
      <w:tr>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St. Lucie County, school age autism</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579 in 2020-21</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1,035 in 2024-25</w:t>
            </w:r>
          </w:p>
        </w:tc>
        <w:tc>
          <w:tcPr>
            <w:tcW w:type="dxa" w:w="22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up 79% in four years</w:t>
            </w:r>
          </w:p>
        </w:tc>
      </w:tr>
      <w:tr>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St. Lucie County, all students with disabilities</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5,383</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6,692</w:t>
            </w:r>
          </w:p>
        </w:tc>
        <w:tc>
          <w:tcPr>
            <w:tcW w:type="dxa" w:w="22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up 24%</w:t>
            </w:r>
          </w:p>
        </w:tc>
      </w:tr>
    </w:tbl>
    <w:p>
      <w:pPr>
        <w:spacing w:after="100"/>
      </w:pPr>
    </w:p>
    <w:p>
      <w:pPr>
        <w:spacing w:after="140" w:before="0" w:line="276"/>
      </w:pPr>
      <w:r>
        <w:rPr>
          <w:rFonts w:ascii="Calibri" w:cs="Calibri" w:eastAsia="Calibri" w:hAnsi="Calibri"/>
          <w:color w:val="1B2333"/>
          <w:sz w:val="21"/>
          <w:szCs w:val="21"/>
        </w:rPr>
        <w:t xml:space="preserve">In that district, autism is now 15.5 percent of all school-age students with disabilities. Source for all four lines: the US Department of Education’s own child count files.</w:t>
      </w:r>
    </w:p>
    <w:p>
      <w:pPr>
        <w:pStyle w:val="Heading2"/>
        <w:spacing w:after="110" w:before="260"/>
      </w:pPr>
      <w:r>
        <w:rPr>
          <w:rFonts w:ascii="Calibri" w:cs="Calibri" w:eastAsia="Calibri" w:hAnsi="Calibri"/>
          <w:b/>
          <w:bCs/>
          <w:color w:val="10233F"/>
          <w:sz w:val="24"/>
          <w:szCs w:val="24"/>
        </w:rPr>
        <w:t xml:space="preserve">9.2 What the products did in the same period</w:t>
      </w:r>
    </w:p>
    <w:p>
      <w:pPr>
        <w:spacing w:after="140" w:before="0" w:line="276"/>
      </w:pPr>
      <w:r>
        <w:rPr>
          <w:rFonts w:ascii="Calibri" w:cs="Calibri" w:eastAsia="Calibri" w:hAnsi="Calibri"/>
          <w:color w:val="1B2333"/>
          <w:sz w:val="21"/>
          <w:szCs w:val="21"/>
        </w:rPr>
        <w:t xml:space="preserve">First release dates, from Apple’s own lookup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1814"/>
        <w:gridCol w:w="6049"/>
      </w:tblGrid>
      <w:tr>
        <w:trPr>
          <w:tblHeader/>
        </w:trPr>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Product</w:t>
            </w:r>
          </w:p>
        </w:tc>
        <w:tc>
          <w:tcPr>
            <w:tcW w:type="dxa" w:w="181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First released</w:t>
            </w:r>
          </w:p>
        </w:tc>
        <w:tc>
          <w:tcPr>
            <w:tcW w:type="dxa" w:w="604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Latest substantial change, as recorded</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Proloquo2Go</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21 April 2009</w:t>
            </w:r>
          </w:p>
        </w:tc>
        <w:tc>
          <w:tcPr>
            <w:tcW w:type="dxa" w:w="604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Nothing in the visible history back to January 2023 describes a new vocabulary or a redesigned layout. The updates are voices, access and settings.</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TouchChat</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23 December 2010</w:t>
            </w:r>
          </w:p>
        </w:tc>
        <w:tc>
          <w:tcPr>
            <w:tcW w:type="dxa" w:w="604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February 2026 added regional word lists and AI helpers on top of the existing layout.</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GoTalk NOW</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12 October 2011</w:t>
            </w:r>
          </w:p>
        </w:tc>
        <w:tc>
          <w:tcPr>
            <w:tcW w:type="dxa" w:w="604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May 2026, rebuilt from the ground up. The one true rebuild in the set.</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Speak for Yourself</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21 December 2011</w:t>
            </w:r>
          </w:p>
        </w:tc>
        <w:tc>
          <w:tcPr>
            <w:tcW w:type="dxa" w:w="604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maker’s own release note, April 2023: every word in the app is still in the exact same place as it has been since the app was released in 2011.</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LAMP Words for Life</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28 August 2012</w:t>
            </w:r>
          </w:p>
        </w:tc>
        <w:tc>
          <w:tcPr>
            <w:tcW w:type="dxa" w:w="604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June 2026 was minor bug fixes. Redesign is philosophically forbidden here, because it would break the motor plans the method depends on.</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Avaz</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18 September 2012</w:t>
            </w:r>
          </w:p>
        </w:tc>
        <w:tc>
          <w:tcPr>
            <w:tcW w:type="dxa" w:w="604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September 2024.</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CoughDrop</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 October 2015</w:t>
            </w:r>
          </w:p>
        </w:tc>
        <w:tc>
          <w:tcPr>
            <w:tcW w:type="dxa" w:w="604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None of the twenty-five listed versions back to December 2021 describes a new vocabulary, layout or redesign.</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TD Snap</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 June 2017</w:t>
            </w:r>
          </w:p>
        </w:tc>
        <w:tc>
          <w:tcPr>
            <w:tcW w:type="dxa" w:w="604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October 2025.</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Grid for iPad</w:t>
            </w:r>
          </w:p>
        </w:tc>
        <w:tc>
          <w:tcPr>
            <w:tcW w:type="dxa" w:w="181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31 January 2018</w:t>
            </w:r>
          </w:p>
        </w:tc>
        <w:tc>
          <w:tcPr>
            <w:tcW w:type="dxa" w:w="604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June 2026.</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Proloquo</w:t>
            </w:r>
          </w:p>
        </w:tc>
        <w:tc>
          <w:tcPr>
            <w:tcW w:type="dxa" w:w="181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7 March 2022</w:t>
            </w:r>
          </w:p>
        </w:tc>
        <w:tc>
          <w:tcPr>
            <w:tcW w:type="dxa" w:w="604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only genuinely new product from an established maker, and it is a subscription rebuild of the same idea.</w:t>
            </w:r>
          </w:p>
        </w:tc>
      </w:tr>
    </w:tbl>
    <w:p>
      <w:pPr>
        <w:spacing w:after="100"/>
      </w:pPr>
    </w:p>
    <w:p>
      <w:pPr>
        <w:spacing w:after="140" w:before="0" w:line="276"/>
      </w:pPr>
      <w:r>
        <w:rPr>
          <w:rFonts w:ascii="Calibri" w:cs="Calibri" w:eastAsia="Calibri" w:hAnsi="Calibri"/>
          <w:color w:val="1B2333"/>
          <w:sz w:val="21"/>
          <w:szCs w:val="21"/>
        </w:rPr>
        <w:t xml:space="preserve">The methods underneath are older than the apps. Minspeak dates to 1982, Unity to 1995, the dominant symbol set was in use by 1989, and picture exchange to 1993. Core vocabulary rests on a 1984 study of five adults. The makers’ own product pages describe their principles and cite no studies.</w:t>
      </w:r>
    </w:p>
    <w:p>
      <w:pPr>
        <w:pStyle w:val="Heading3"/>
        <w:spacing w:after="90" w:before="200"/>
      </w:pPr>
      <w:r>
        <w:rPr>
          <w:rFonts w:ascii="Calibri" w:cs="Calibri" w:eastAsia="Calibri" w:hAnsi="Calibri"/>
          <w:b/>
          <w:bCs/>
          <w:color w:val="44506A"/>
          <w:sz w:val="21"/>
          <w:szCs w:val="21"/>
        </w:rPr>
        <w:t xml:space="preserve">The evidence base is thinner than the prices suggest</w:t>
      </w:r>
    </w:p>
    <w:p>
      <w:pPr>
        <w:pStyle w:val="ListParagraph"/>
        <w:numPr>
          <w:ilvl w:val="0"/>
          <w:numId w:val="3"/>
        </w:numPr>
        <w:spacing w:after="90" w:line="276"/>
      </w:pPr>
      <w:r>
        <w:rPr>
          <w:rFonts w:ascii="Calibri" w:cs="Calibri" w:eastAsia="Calibri" w:hAnsi="Calibri"/>
          <w:color w:val="1B2333"/>
          <w:sz w:val="21"/>
          <w:szCs w:val="21"/>
        </w:rPr>
        <w:t xml:space="preserve">Kasari 2014: 61 children, effect size 0.62 at twenty-four weeks, attenuated by thirty-six weeks, twenty-five percent attrition.</w:t>
      </w:r>
    </w:p>
    <w:p>
      <w:pPr>
        <w:pStyle w:val="ListParagraph"/>
        <w:numPr>
          <w:ilvl w:val="0"/>
          <w:numId w:val="3"/>
        </w:numPr>
        <w:spacing w:after="90" w:line="276"/>
      </w:pPr>
      <w:r>
        <w:rPr>
          <w:rFonts w:ascii="Calibri" w:cs="Calibri" w:eastAsia="Calibri" w:hAnsi="Calibri"/>
          <w:color w:val="1B2333"/>
          <w:sz w:val="21"/>
          <w:szCs w:val="21"/>
        </w:rPr>
        <w:t xml:space="preserve">Cochrane 2018: two randomized trials, rated very low quality.</w:t>
      </w:r>
    </w:p>
    <w:p>
      <w:pPr>
        <w:pStyle w:val="ListParagraph"/>
        <w:numPr>
          <w:ilvl w:val="0"/>
          <w:numId w:val="3"/>
        </w:numPr>
        <w:spacing w:after="90" w:line="276"/>
      </w:pPr>
      <w:r>
        <w:rPr>
          <w:rFonts w:ascii="Calibri" w:cs="Calibri" w:eastAsia="Calibri" w:hAnsi="Calibri"/>
          <w:color w:val="1B2333"/>
          <w:sz w:val="21"/>
          <w:szCs w:val="21"/>
        </w:rPr>
        <w:t xml:space="preserve">Phillips and Zhao 1993 remains the abandonment reference: 29.3 percent across 227 adults, across all assistive technology. No study measures abandonment of school-issued speech devices, and there is no federal dataset on device issuance at all.</w:t>
      </w:r>
    </w:p>
    <w:p>
      <w:pPr>
        <w:pStyle w:val="ListParagraph"/>
        <w:numPr>
          <w:ilvl w:val="0"/>
          <w:numId w:val="3"/>
        </w:numPr>
        <w:spacing w:after="90" w:line="276"/>
      </w:pPr>
      <w:r>
        <w:rPr>
          <w:rFonts w:ascii="Calibri" w:cs="Calibri" w:eastAsia="Calibri" w:hAnsi="Calibri"/>
          <w:color w:val="1B2333"/>
          <w:sz w:val="21"/>
          <w:szCs w:val="21"/>
        </w:rPr>
        <w:t xml:space="preserve">One finding that supports the whole approach. Lorah and colleagues, 2015, a systematic review in the Journal of Autism and Developmental Disorders: acquisition was often quicker on a tablet than with picture exchange or manual sign, and the vast majority of participants preferred the device.</w:t>
      </w:r>
    </w:p>
    <w:p>
      <w:pPr>
        <w:spacing w:after="80"/>
      </w:pP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10233F" w:sz="18"/>
              <w:bottom w:val="none"/>
              <w:right w:val="none"/>
            </w:tcBorders>
            <w:shd w:fill="EEF2F8" w:color="auto" w:val="clear"/>
            <w:tcMar>
              <w:top w:type="dxa" w:w="160"/>
              <w:left w:type="dxa" w:w="200"/>
              <w:bottom w:type="dxa" w:w="160"/>
              <w:right w:type="dxa" w:w="200"/>
            </w:tcMar>
          </w:tcPr>
          <w:p>
            <w:pPr>
              <w:spacing w:after="0" w:before="0" w:line="276"/>
            </w:pPr>
            <w:r>
              <w:rPr>
                <w:rFonts w:ascii="Calibri" w:cs="Calibri" w:eastAsia="Calibri" w:hAnsi="Calibri"/>
                <w:color w:val="25304A"/>
                <w:sz w:val="20"/>
                <w:szCs w:val="20"/>
              </w:rPr>
              <w:t xml:space="preserve">The owner’s own observations, recorded as his and not as sourced figures: his son’s board has not changed since fourth grade and his son is sixteen. Teachers reported the boy stopped wanting to use his school-issued device in ninth grade. His reading of the industry is that it is asleep at the wheel. These are firsthand accounts, not documents, and any investor deck should present them that way.</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10. The competition</w:t>
      </w:r>
    </w:p>
    <w:p>
      <w:pPr>
        <w:spacing w:after="140" w:before="0" w:line="276"/>
      </w:pPr>
      <w:r>
        <w:rPr>
          <w:rFonts w:ascii="Calibri" w:cs="Calibri" w:eastAsia="Calibri" w:hAnsi="Calibri"/>
          <w:color w:val="1B2333"/>
          <w:sz w:val="21"/>
          <w:szCs w:val="21"/>
        </w:rPr>
        <w:t xml:space="preserve">Every price below was read on 10 September 2026 from the App Store listing, Apple’s lookup service, a Google Play listing, or the maker’s own site. No store publishes unit sales and no maker publishes buyer ages, so there is no revenue figure for any private competitor anywhere in this document.</w:t>
      </w:r>
    </w:p>
    <w:p>
      <w:pPr>
        <w:pStyle w:val="Heading2"/>
        <w:spacing w:after="110" w:before="260"/>
      </w:pPr>
      <w:r>
        <w:rPr>
          <w:rFonts w:ascii="Calibri" w:cs="Calibri" w:eastAsia="Calibri" w:hAnsi="Calibri"/>
          <w:b/>
          <w:bCs/>
          <w:color w:val="10233F"/>
          <w:sz w:val="24"/>
          <w:szCs w:val="24"/>
        </w:rPr>
        <w:t xml:space="preserve">10.1 Apps a family can buy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419"/>
        <w:gridCol w:w="2217"/>
        <w:gridCol w:w="3025"/>
      </w:tblGrid>
      <w:tr>
        <w:trPr>
          <w:tblHeader/>
        </w:trPr>
        <w:tc>
          <w:tcPr>
            <w:tcW w:type="dxa" w:w="241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Product</w:t>
            </w:r>
          </w:p>
        </w:tc>
        <w:tc>
          <w:tcPr>
            <w:tcW w:type="dxa" w:w="241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Owner</w:t>
            </w:r>
          </w:p>
        </w:tc>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Platform</w:t>
            </w:r>
          </w:p>
        </w:tc>
        <w:tc>
          <w:tcPr>
            <w:tcW w:type="dxa" w:w="3025"/>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Price</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Proloquo2Go</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AssistiveWare, Amsterdam</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 and iPadOS only. No Android</w:t>
            </w:r>
          </w:p>
        </w:tc>
        <w:tc>
          <w:tcPr>
            <w:tcW w:type="dxa" w:w="30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$249.99 one time on the store, $299.99 on the maker’s own page</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TouchChat HD with WordPower</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PRC-Saltillo</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 also Mac</w:t>
            </w:r>
          </w:p>
        </w:tc>
        <w:tc>
          <w:tcPr>
            <w:tcW w:type="dxa" w:w="30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$299.99</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TouchChat HD without WordPower</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PRC-Saltillo</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w:t>
            </w:r>
          </w:p>
        </w:tc>
        <w:tc>
          <w:tcPr>
            <w:tcW w:type="dxa" w:w="30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$149.99, with vocabularies as add-ons from $44.99 to $149.99</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LAMP Words for Life</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PRC-Saltillo</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iPad, also on PRC hardware</w:t>
            </w:r>
          </w:p>
        </w:tc>
        <w:tc>
          <w:tcPr>
            <w:tcW w:type="dxa" w:w="30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$299.99, with a 50% school discount at twenty or more copies</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Speak for Yourself</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Speak for Yourself LLC</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w:t>
            </w:r>
          </w:p>
        </w:tc>
        <w:tc>
          <w:tcPr>
            <w:tcW w:type="dxa" w:w="30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$299.99</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Avaz Lifetime</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AVAZ, LLC, a PRC-Saltillo group company</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w:t>
            </w:r>
          </w:p>
        </w:tc>
        <w:tc>
          <w:tcPr>
            <w:tcW w:type="dxa" w:w="30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$299.99</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Grid for iPad</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Smartbox, part of the CareTech Group</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 Grid 3 is Windows software</w:t>
            </w:r>
          </w:p>
        </w:tc>
        <w:tc>
          <w:tcPr>
            <w:tcW w:type="dxa" w:w="30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Free listing with a $299.99 one-off purchase or $10.99 a month</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GoTalk NOW</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Attainment Company</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w:t>
            </w:r>
          </w:p>
        </w:tc>
        <w:tc>
          <w:tcPr>
            <w:tcW w:type="dxa" w:w="30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$119.99</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Proloquo4Text</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AssistiveWare</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w:t>
            </w:r>
          </w:p>
        </w:tc>
        <w:tc>
          <w:tcPr>
            <w:tcW w:type="dxa" w:w="30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$119.99</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TD Snap</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Tobii Dynavox, owned by Dynavox Group</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iPadOS, also Windows hardware. No Play listing found</w:t>
            </w:r>
          </w:p>
        </w:tc>
        <w:tc>
          <w:tcPr>
            <w:tcW w:type="dxa" w:w="30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Free, then $9.99 a month to enable speech after a one-month trial</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Proloquo</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AssistiveWare</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w:t>
            </w:r>
          </w:p>
        </w:tc>
        <w:tc>
          <w:tcPr>
            <w:tcW w:type="dxa" w:w="30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Free, then $9.99 a month or $99.99 a year</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Avaz subscription</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AVAZ, LLC</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 and Android</w:t>
            </w:r>
          </w:p>
        </w:tc>
        <w:tc>
          <w:tcPr>
            <w:tcW w:type="dxa" w:w="30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Free, then $9.99 a month or $99.99 a year</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CoughDrop</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MAVWARE, LLC, sold alongside Forbes AAC devices</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 Android, web</w:t>
            </w:r>
          </w:p>
        </w:tc>
        <w:tc>
          <w:tcPr>
            <w:tcW w:type="dxa" w:w="3025"/>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Free, then $44.99 or $294.99 in-app</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Speech Assistant AAC (text, not symbols)</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A-Soft</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iOS and Android</w:t>
            </w:r>
          </w:p>
        </w:tc>
        <w:tc>
          <w:tcPr>
            <w:tcW w:type="dxa" w:w="3025"/>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$24.99 one time on iOS</w:t>
            </w:r>
          </w:p>
        </w:tc>
      </w:tr>
    </w:tbl>
    <w:p>
      <w:pPr>
        <w:spacing w:after="100"/>
      </w:pPr>
    </w:p>
    <w:p>
      <w:pPr>
        <w:spacing w:after="140" w:before="0" w:line="276"/>
      </w:pPr>
      <w:r>
        <w:rPr>
          <w:rFonts w:ascii="Calibri" w:cs="Calibri" w:eastAsia="Calibri" w:hAnsi="Calibri"/>
          <w:color w:val="1B2333"/>
          <w:sz w:val="21"/>
          <w:szCs w:val="21"/>
        </w:rPr>
        <w:t xml:space="preserve">The price band for a serious symbol app is $149.99 to $299.99 one time, or about $9.99 a month. The working price for this product sits below the one-time band and level with the subscription band.</w:t>
      </w:r>
    </w:p>
    <w:p>
      <w:pPr>
        <w:pStyle w:val="Heading2"/>
        <w:spacing w:after="110" w:before="260"/>
      </w:pPr>
      <w:r>
        <w:rPr>
          <w:rFonts w:ascii="Calibri" w:cs="Calibri" w:eastAsia="Calibri" w:hAnsi="Calibri"/>
          <w:b/>
          <w:bCs/>
          <w:color w:val="10233F"/>
          <w:sz w:val="24"/>
          <w:szCs w:val="24"/>
        </w:rPr>
        <w:t xml:space="preserve">10.2 Who owns whom</w:t>
      </w:r>
    </w:p>
    <w:p>
      <w:pPr>
        <w:pStyle w:val="ListParagraph"/>
        <w:numPr>
          <w:ilvl w:val="0"/>
          <w:numId w:val="3"/>
        </w:numPr>
        <w:spacing w:after="90" w:line="276"/>
      </w:pPr>
      <w:r>
        <w:rPr>
          <w:rFonts w:ascii="Calibri" w:cs="Calibri" w:eastAsia="Calibri" w:hAnsi="Calibri"/>
          <w:color w:val="1B2333"/>
          <w:sz w:val="21"/>
          <w:szCs w:val="21"/>
        </w:rPr>
        <w:t xml:space="preserve">Dynavox Group is the only public company in the industry, listed on Nasdaq Stockholm. Tobii acquired DynaVox in 2014 and the parent renamed itself in 2024. It has acquired a voice company in 2022 and two more businesses in 2025 and 2026.</w:t>
      </w:r>
    </w:p>
    <w:p>
      <w:pPr>
        <w:pStyle w:val="ListParagraph"/>
        <w:numPr>
          <w:ilvl w:val="0"/>
          <w:numId w:val="3"/>
        </w:numPr>
        <w:spacing w:after="90" w:line="276"/>
      </w:pPr>
      <w:r>
        <w:rPr>
          <w:rFonts w:ascii="Calibri" w:cs="Calibri" w:eastAsia="Calibri" w:hAnsi="Calibri"/>
          <w:color w:val="1B2333"/>
          <w:sz w:val="21"/>
          <w:szCs w:val="21"/>
        </w:rPr>
        <w:t xml:space="preserve">PRC-Saltillo is one hundred percent employee owned. Prentke Romich bought Saltillo in 2008 and the two merged their names in 2019. It bought the Minspeak and Unity intellectual property outright in 2020, and Avaz is a group company.</w:t>
      </w:r>
    </w:p>
    <w:p>
      <w:pPr>
        <w:pStyle w:val="ListParagraph"/>
        <w:numPr>
          <w:ilvl w:val="0"/>
          <w:numId w:val="3"/>
        </w:numPr>
        <w:spacing w:after="90" w:line="276"/>
      </w:pPr>
      <w:r>
        <w:rPr>
          <w:rFonts w:ascii="Calibri" w:cs="Calibri" w:eastAsia="Calibri" w:hAnsi="Calibri"/>
          <w:color w:val="1B2333"/>
          <w:sz w:val="21"/>
          <w:szCs w:val="21"/>
        </w:rPr>
        <w:t xml:space="preserve">Smartbox is part of the CareTech Group, and its United States arm was formerly a separate company called Talk To Me Technologies.</w:t>
      </w:r>
    </w:p>
    <w:p>
      <w:pPr>
        <w:pStyle w:val="ListParagraph"/>
        <w:numPr>
          <w:ilvl w:val="0"/>
          <w:numId w:val="3"/>
        </w:numPr>
        <w:spacing w:after="90" w:line="276"/>
      </w:pPr>
      <w:r>
        <w:rPr>
          <w:rFonts w:ascii="Calibri" w:cs="Calibri" w:eastAsia="Calibri" w:hAnsi="Calibri"/>
          <w:color w:val="1B2333"/>
          <w:sz w:val="21"/>
          <w:szCs w:val="21"/>
        </w:rPr>
        <w:t xml:space="preserve">AssistiveWare is independent, about forty people.</w:t>
      </w:r>
    </w:p>
    <w:p>
      <w:pPr>
        <w:pStyle w:val="ListParagraph"/>
        <w:numPr>
          <w:ilvl w:val="0"/>
          <w:numId w:val="3"/>
        </w:numPr>
        <w:spacing w:after="90" w:line="276"/>
      </w:pPr>
      <w:r>
        <w:rPr>
          <w:rFonts w:ascii="Calibri" w:cs="Calibri" w:eastAsia="Calibri" w:hAnsi="Calibri"/>
          <w:color w:val="1B2333"/>
          <w:sz w:val="21"/>
          <w:szCs w:val="21"/>
        </w:rPr>
        <w:t xml:space="preserve">No private equity owner is recorded for any competitor.</w:t>
      </w:r>
    </w:p>
    <w:p>
      <w:pPr>
        <w:pStyle w:val="Heading2"/>
        <w:spacing w:after="110" w:before="260"/>
      </w:pPr>
      <w:r>
        <w:rPr>
          <w:rFonts w:ascii="Calibri" w:cs="Calibri" w:eastAsia="Calibri" w:hAnsi="Calibri"/>
          <w:b/>
          <w:bCs/>
          <w:color w:val="10233F"/>
          <w:sz w:val="24"/>
          <w:szCs w:val="24"/>
        </w:rPr>
        <w:t xml:space="preserve">10.3 The one competitor with published numbers</w:t>
      </w:r>
    </w:p>
    <w:p>
      <w:pPr>
        <w:spacing w:after="140" w:before="0" w:line="276"/>
      </w:pPr>
      <w:r>
        <w:rPr>
          <w:rFonts w:ascii="Calibri" w:cs="Calibri" w:eastAsia="Calibri" w:hAnsi="Calibri"/>
          <w:color w:val="1B2333"/>
          <w:sz w:val="21"/>
          <w:szCs w:val="21"/>
        </w:rPr>
        <w:t xml:space="preserve">Dynavox Group’s own 2024 annual report is the only audited window into this industry: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6"/>
        <w:gridCol w:w="5444"/>
      </w:tblGrid>
      <w:tr>
        <w:trPr>
          <w:tblHeader/>
        </w:trPr>
        <w:tc>
          <w:tcPr>
            <w:tcW w:type="dxa" w:w="46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Line</w:t>
            </w:r>
          </w:p>
        </w:tc>
        <w:tc>
          <w:tcPr>
            <w:tcW w:type="dxa" w:w="544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Figure</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Net sales 2024</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SEK 1,972.1 million, against SEK 1,613.3 million in 2023</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Organic growth</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18 percent</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North America share of sales</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78 percent</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Gross margin</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69 percent</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Operating margin</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11.6 percent</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Share of revenue from insurers and public funders</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About 90 percent</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Active funder contracts, and funders in the US market</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More than 600 contracts, about 1,500 funders</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Employees</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874, or more than 1,000 by its own about page</w:t>
            </w:r>
          </w:p>
        </w:tc>
      </w:tr>
    </w:tbl>
    <w:p>
      <w:pPr>
        <w:spacing w:after="100"/>
      </w:pPr>
    </w:p>
    <w:p>
      <w:pPr>
        <w:spacing w:after="140" w:before="0" w:line="276"/>
      </w:pPr>
      <w:r>
        <w:rPr>
          <w:rFonts w:ascii="Calibri" w:cs="Calibri" w:eastAsia="Calibri" w:hAnsi="Calibri"/>
          <w:color w:val="1B2333"/>
          <w:sz w:val="21"/>
          <w:szCs w:val="21"/>
        </w:rPr>
        <w:t xml:space="preserve">The ninety percent figure is the most useful number in this section. It says the incumbent business is a reimbursement business. A family with a credit card is not its customer.</w:t>
      </w:r>
    </w:p>
    <w:p>
      <w:pPr>
        <w:pStyle w:val="Heading2"/>
        <w:spacing w:after="110" w:before="260"/>
      </w:pPr>
      <w:r>
        <w:rPr>
          <w:rFonts w:ascii="Calibri" w:cs="Calibri" w:eastAsia="Calibri" w:hAnsi="Calibri"/>
          <w:b/>
          <w:bCs/>
          <w:color w:val="10233F"/>
          <w:sz w:val="24"/>
          <w:szCs w:val="24"/>
        </w:rPr>
        <w:t xml:space="preserve">10.4 Dedicated hardware, and why its price is invisible</w:t>
      </w:r>
    </w:p>
    <w:p>
      <w:pPr>
        <w:spacing w:after="140" w:before="0" w:line="276"/>
      </w:pPr>
      <w:r>
        <w:rPr>
          <w:rFonts w:ascii="Calibri" w:cs="Calibri" w:eastAsia="Calibri" w:hAnsi="Calibri"/>
          <w:color w:val="1B2333"/>
          <w:sz w:val="21"/>
          <w:szCs w:val="21"/>
        </w:rPr>
        <w:t xml:space="preserve">Not one hardware maker publishes a price. Not PRC-Saltillo, not Tobii Dynavox, not AbleNet, not Forbes AAC, not Smartbox. Every route runs through a speech pathologist’s evaluation, a physician’s prescription, prior authorization and a supplier. One maker’s own funding page describes a packet taking thirty to sixty days, a trial of up to four weeks, an evaluation that must be less than six months old, and an expectation that the device lasts at least five years.</w:t>
      </w:r>
    </w:p>
    <w:p>
      <w:pPr>
        <w:spacing w:after="140" w:before="0" w:line="276"/>
      </w:pPr>
      <w:r>
        <w:rPr>
          <w:rFonts w:ascii="Calibri" w:cs="Calibri" w:eastAsia="Calibri" w:hAnsi="Calibri"/>
          <w:color w:val="1B2333"/>
          <w:sz w:val="21"/>
          <w:szCs w:val="21"/>
        </w:rPr>
        <w:t xml:space="preserve">What is published is what the government pays. In Florida, Medicare allows $9,645.69 for the standard speech device code and Florida Medicaid allows $6,240.51, one every five years.</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10233F" w:sz="18"/>
              <w:bottom w:val="none"/>
              <w:right w:val="none"/>
            </w:tcBorders>
            <w:shd w:fill="EEF2F8" w:color="auto" w:val="clear"/>
            <w:tcMar>
              <w:top w:type="dxa" w:w="160"/>
              <w:left w:type="dxa" w:w="200"/>
              <w:bottom w:type="dxa" w:w="160"/>
              <w:right w:type="dxa" w:w="200"/>
            </w:tcMar>
          </w:tcPr>
          <w:p>
            <w:pPr>
              <w:spacing w:after="0" w:before="0" w:line="276"/>
            </w:pPr>
            <w:r>
              <w:rPr>
                <w:rFonts w:ascii="Calibri" w:cs="Calibri" w:eastAsia="Calibri" w:hAnsi="Calibri"/>
                <w:color w:val="25304A"/>
                <w:sz w:val="20"/>
                <w:szCs w:val="20"/>
              </w:rPr>
              <w:t xml:space="preserve">The exclusion that creates the opening. Medicare’s national rule says computers and tablets are generally not durable medical equipment because they are useful in the absence of an illness. Florida Medicaid excludes computers, tablets, smartphones and other general computing devices outright. So the funded channel cannot pay for a phone app, and the phone app cannot be crowded out by a funded device. They are different markets that serve the same person.</w:t>
            </w:r>
          </w:p>
        </w:tc>
      </w:tr>
    </w:tbl>
    <w:p>
      <w:pPr>
        <w:pStyle w:val="Heading2"/>
        <w:spacing w:after="110" w:before="260"/>
      </w:pPr>
      <w:r>
        <w:rPr>
          <w:rFonts w:ascii="Calibri" w:cs="Calibri" w:eastAsia="Calibri" w:hAnsi="Calibri"/>
          <w:b/>
          <w:bCs/>
          <w:color w:val="10233F"/>
          <w:sz w:val="24"/>
          <w:szCs w:val="24"/>
        </w:rPr>
        <w:t xml:space="preserve">10.5 Where the incumbents are weak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3"/>
        <w:gridCol w:w="6350"/>
        <w:gridCol w:w="2017"/>
      </w:tblGrid>
      <w:tr>
        <w:trPr>
          <w:tblHeader/>
        </w:trPr>
        <w:tc>
          <w:tcPr>
            <w:tcW w:type="dxa" w:w="171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Dimension</w:t>
            </w:r>
          </w:p>
        </w:tc>
        <w:tc>
          <w:tcPr>
            <w:tcW w:type="dxa" w:w="6350"/>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the incumbents do</w:t>
            </w:r>
          </w:p>
        </w:tc>
        <w:tc>
          <w:tcPr>
            <w:tcW w:type="dxa" w:w="20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Source quality</w:t>
            </w:r>
          </w:p>
        </w:tc>
      </w:tr>
      <w:tr>
        <w:tc>
          <w:tcPr>
            <w:tcW w:type="dxa" w:w="17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target device</w:t>
            </w:r>
          </w:p>
        </w:tc>
        <w:tc>
          <w:tcPr>
            <w:tcW w:type="dxa" w:w="635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Built for a school iPad or a Windows or Android dedicated device. Only three products name teenagers in their own positioning, and all three are text-based rather than symbol-based. One major app added iPhone support in 2020 and another added portrait orientation in 2025.</w:t>
            </w:r>
          </w:p>
        </w:tc>
        <w:tc>
          <w:tcPr>
            <w:tcW w:type="dxa" w:w="20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Maker pages and store listings</w:t>
            </w:r>
          </w:p>
        </w:tc>
      </w:tr>
      <w:tr>
        <w:tc>
          <w:tcPr>
            <w:tcW w:type="dxa" w:w="17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Syncing</w:t>
            </w:r>
          </w:p>
        </w:tc>
        <w:tc>
          <w:tcPr>
            <w:tcW w:type="dxa" w:w="635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Two do it well: one is fully cloud-based with free supervisor accounts, and one syncs through Dropbox with invited remote editors. The market leaders do not. One is Apple ID locked with no separate editor accounts, and the biggest one has no live sync at all, only a daily backup and file sharing by AirDrop, Dropbox or email.</w:t>
            </w:r>
          </w:p>
        </w:tc>
        <w:tc>
          <w:tcPr>
            <w:tcW w:type="dxa" w:w="20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Maker documentation</w:t>
            </w:r>
          </w:p>
        </w:tc>
      </w:tr>
      <w:tr>
        <w:tc>
          <w:tcPr>
            <w:tcW w:type="dxa" w:w="171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Setup burden</w:t>
            </w:r>
          </w:p>
        </w:tc>
        <w:tc>
          <w:tcPr>
            <w:tcW w:type="dxa" w:w="635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An entire training ecosystem exists around configuring these products, which is itself the evidence. Parents describe programming as stressful, time consuming and overwhelming.</w:t>
            </w:r>
          </w:p>
        </w:tc>
        <w:tc>
          <w:tcPr>
            <w:tcW w:type="dxa" w:w="20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Maker course catalogs, plus research</w:t>
            </w:r>
          </w:p>
        </w:tc>
      </w:tr>
      <w:tr>
        <w:tc>
          <w:tcPr>
            <w:tcW w:type="dxa" w:w="171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Growing with the child</w:t>
            </w:r>
          </w:p>
        </w:tc>
        <w:tc>
          <w:tcPr>
            <w:tcW w:type="dxa" w:w="635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Growth breaks the layout. In one product, repositioned buttons must be repositioned again at every grid size and custom links break at a size boundary. In another, different grid sizes are separate files, so switching means recustomizing everything. In a third, preprogrammed words cannot be moved or removed at all.</w:t>
            </w:r>
          </w:p>
        </w:tc>
        <w:tc>
          <w:tcPr>
            <w:tcW w:type="dxa" w:w="20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Maker documentation</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11. What actually sets this apart</w:t>
      </w:r>
    </w:p>
    <w:p>
      <w:pPr>
        <w:spacing w:after="140" w:before="0" w:line="276"/>
      </w:pPr>
      <w:r>
        <w:rPr>
          <w:rFonts w:ascii="Calibri" w:cs="Calibri" w:eastAsia="Calibri" w:hAnsi="Calibri"/>
          <w:color w:val="1B2333"/>
          <w:sz w:val="21"/>
          <w:szCs w:val="21"/>
        </w:rPr>
        <w:t xml:space="preserve">Stated as claims a skeptical reader can check, strongest first.</w:t>
      </w:r>
    </w:p>
    <w:p>
      <w:pPr>
        <w:pStyle w:val="ListParagraph"/>
        <w:numPr>
          <w:ilvl w:val="0"/>
          <w:numId w:val="2"/>
        </w:numPr>
        <w:spacing w:after="90" w:line="276"/>
      </w:pPr>
      <w:r>
        <w:rPr>
          <w:rFonts w:ascii="Calibri" w:cs="Calibri" w:eastAsia="Calibri" w:hAnsi="Calibri"/>
          <w:color w:val="1B2333"/>
          <w:sz w:val="21"/>
          <w:szCs w:val="21"/>
        </w:rPr>
        <w:t xml:space="preserve">It is on the user’s own phone. Every established product targets a school iPad or a dedicated device that must be prescribed. This one installs on the phone a teenager already carries. The owner’s framing: teenagers like things they can put on their phones, and nonverbal teenagers just want a voice.</w:t>
      </w:r>
    </w:p>
    <w:p>
      <w:pPr>
        <w:pStyle w:val="ListParagraph"/>
        <w:numPr>
          <w:ilvl w:val="0"/>
          <w:numId w:val="2"/>
        </w:numPr>
        <w:spacing w:after="90" w:line="276"/>
      </w:pPr>
      <w:r>
        <w:rPr>
          <w:rFonts w:ascii="Calibri" w:cs="Calibri" w:eastAsia="Calibri" w:hAnsi="Calibri"/>
          <w:color w:val="1B2333"/>
          <w:sz w:val="21"/>
          <w:szCs w:val="21"/>
        </w:rPr>
        <w:t xml:space="preserve">The family is the customer. The incumbent leader takes about ninety percent of its revenue from insurers and public funders, by its own annual report. Nothing in that channel is designed for a parent who simply wants to buy something.</w:t>
      </w:r>
    </w:p>
    <w:p>
      <w:pPr>
        <w:pStyle w:val="ListParagraph"/>
        <w:numPr>
          <w:ilvl w:val="0"/>
          <w:numId w:val="2"/>
        </w:numPr>
        <w:spacing w:after="90" w:line="276"/>
      </w:pPr>
      <w:r>
        <w:rPr>
          <w:rFonts w:ascii="Calibri" w:cs="Calibri" w:eastAsia="Calibri" w:hAnsi="Calibri"/>
          <w:color w:val="1B2333"/>
          <w:sz w:val="21"/>
          <w:szCs w:val="21"/>
        </w:rPr>
        <w:t xml:space="preserve">It costs a fraction of what the funded channel costs, and the funded channel is legally barred from buying it. Medicare allows over nine thousand dollars for a device, and both Medicare and Florida Medicaid explicitly exclude phones and tablets from that benefit.</w:t>
      </w:r>
    </w:p>
    <w:p>
      <w:pPr>
        <w:pStyle w:val="ListParagraph"/>
        <w:numPr>
          <w:ilvl w:val="0"/>
          <w:numId w:val="2"/>
        </w:numPr>
        <w:spacing w:after="90" w:line="276"/>
      </w:pPr>
      <w:r>
        <w:rPr>
          <w:rFonts w:ascii="Calibri" w:cs="Calibri" w:eastAsia="Calibri" w:hAnsi="Calibri"/>
          <w:color w:val="1B2333"/>
          <w:sz w:val="21"/>
          <w:szCs w:val="21"/>
        </w:rPr>
        <w:t xml:space="preserve">It talks to people who are not in the room. Cloud texting from a locked phone, spoken messages from a parent that play on the child’s device, and an emergency alert with live location. No competitor in this research does any of these.</w:t>
      </w:r>
    </w:p>
    <w:p>
      <w:pPr>
        <w:pStyle w:val="ListParagraph"/>
        <w:numPr>
          <w:ilvl w:val="0"/>
          <w:numId w:val="2"/>
        </w:numPr>
        <w:spacing w:after="90" w:line="276"/>
      </w:pPr>
      <w:r>
        <w:rPr>
          <w:rFonts w:ascii="Calibri" w:cs="Calibri" w:eastAsia="Calibri" w:hAnsi="Calibri"/>
          <w:color w:val="1B2333"/>
          <w:sz w:val="21"/>
          <w:szCs w:val="21"/>
        </w:rPr>
        <w:t xml:space="preserve">The emergency alert is free forever, on every tier, and costs the company money on every press. That is a deliberate decision, not an oversight.</w:t>
      </w:r>
    </w:p>
    <w:p>
      <w:pPr>
        <w:pStyle w:val="ListParagraph"/>
        <w:numPr>
          <w:ilvl w:val="0"/>
          <w:numId w:val="2"/>
        </w:numPr>
        <w:spacing w:after="90" w:line="276"/>
      </w:pPr>
      <w:r>
        <w:rPr>
          <w:rFonts w:ascii="Calibri" w:cs="Calibri" w:eastAsia="Calibri" w:hAnsi="Calibri"/>
          <w:color w:val="1B2333"/>
          <w:sz w:val="21"/>
          <w:szCs w:val="21"/>
        </w:rPr>
        <w:t xml:space="preserve">The voice sounds like a teenager, chosen or designed by the family, instead of the built-in adult or robotic voices.</w:t>
      </w:r>
    </w:p>
    <w:p>
      <w:pPr>
        <w:pStyle w:val="ListParagraph"/>
        <w:numPr>
          <w:ilvl w:val="0"/>
          <w:numId w:val="2"/>
        </w:numPr>
        <w:spacing w:after="90" w:line="276"/>
      </w:pPr>
      <w:r>
        <w:rPr>
          <w:rFonts w:ascii="Calibri" w:cs="Calibri" w:eastAsia="Calibri" w:hAnsi="Calibri"/>
          <w:color w:val="1B2333"/>
          <w:sz w:val="21"/>
          <w:szCs w:val="21"/>
        </w:rPr>
        <w:t xml:space="preserve">A parent sets it up, not a clinician. There is no evaluation, no prescription, no configuration appointment, and no student data on our servers.</w:t>
      </w:r>
    </w:p>
    <w:p>
      <w:pPr>
        <w:pStyle w:val="ListParagraph"/>
        <w:numPr>
          <w:ilvl w:val="0"/>
          <w:numId w:val="2"/>
        </w:numPr>
        <w:spacing w:after="90" w:line="276"/>
      </w:pPr>
      <w:r>
        <w:rPr>
          <w:rFonts w:ascii="Calibri" w:cs="Calibri" w:eastAsia="Calibri" w:hAnsi="Calibri"/>
          <w:color w:val="1B2333"/>
          <w:sz w:val="21"/>
          <w:szCs w:val="21"/>
        </w:rPr>
        <w:t xml:space="preserve">Boards sync across the family and back up to a file the family keeps. Two competitors do this well. The two most expensive do not.</w:t>
      </w:r>
    </w:p>
    <w:p>
      <w:pPr>
        <w:pStyle w:val="ListParagraph"/>
        <w:numPr>
          <w:ilvl w:val="0"/>
          <w:numId w:val="2"/>
        </w:numPr>
        <w:spacing w:after="90" w:line="276"/>
      </w:pPr>
      <w:r>
        <w:rPr>
          <w:rFonts w:ascii="Calibri" w:cs="Calibri" w:eastAsia="Calibri" w:hAnsi="Calibri"/>
          <w:color w:val="1B2333"/>
          <w:sz w:val="21"/>
          <w:szCs w:val="21"/>
        </w:rPr>
        <w:t xml:space="preserve">It was built by a father for his own nonverbal son, who uses it every day. That is not a feature, but it is why the product is shaped the way it is, and it is verifiable.</w:t>
      </w:r>
    </w:p>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12. Every cost that is known</w:t>
      </w:r>
    </w:p>
    <w:p>
      <w:pPr>
        <w:spacing w:after="140" w:before="0" w:line="276"/>
      </w:pPr>
      <w:r>
        <w:rPr>
          <w:rFonts w:ascii="Calibri" w:cs="Calibri" w:eastAsia="Calibri" w:hAnsi="Calibri"/>
          <w:color w:val="1B2333"/>
          <w:sz w:val="21"/>
          <w:szCs w:val="21"/>
        </w:rPr>
        <w:t xml:space="preserve">Marked V for verified against the vendor’s own page, D for taken from the owner’s planning document but never checked against the vendor, and A for an assumption with no source at all. The distinction matters: five of these numbers drive the whole cost model and three of those five are assumptions.</w:t>
      </w:r>
    </w:p>
    <w:p>
      <w:pPr>
        <w:pStyle w:val="Heading2"/>
        <w:spacing w:after="110" w:before="260"/>
      </w:pPr>
      <w:r>
        <w:rPr>
          <w:rFonts w:ascii="Calibri" w:cs="Calibri" w:eastAsia="Calibri" w:hAnsi="Calibri"/>
          <w:b/>
          <w:bCs/>
          <w:color w:val="10233F"/>
          <w:sz w:val="24"/>
          <w:szCs w:val="24"/>
        </w:rPr>
        <w:t xml:space="preserve">12.1 Fixed and one-time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7"/>
        <w:gridCol w:w="2419"/>
        <w:gridCol w:w="604"/>
        <w:gridCol w:w="2421"/>
      </w:tblGrid>
      <w:tr>
        <w:trPr>
          <w:tblHeader/>
        </w:trPr>
        <w:tc>
          <w:tcPr>
            <w:tcW w:type="dxa" w:w="241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Cost</w:t>
            </w:r>
          </w:p>
        </w:tc>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Amount</w:t>
            </w:r>
          </w:p>
        </w:tc>
        <w:tc>
          <w:tcPr>
            <w:tcW w:type="dxa" w:w="241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Timing</w:t>
            </w:r>
          </w:p>
        </w:tc>
        <w:tc>
          <w:tcPr>
            <w:tcW w:type="dxa" w:w="60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Mark</w:t>
            </w:r>
          </w:p>
        </w:tc>
        <w:tc>
          <w:tcPr>
            <w:tcW w:type="dxa" w:w="2421"/>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Source</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Apple Developer Program</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$99</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Yearly. PAID 10 September 2026, one-year membership, so the next one falls due September 2027.</w:t>
            </w:r>
          </w:p>
        </w:tc>
        <w:tc>
          <w:tcPr>
            <w:tcW w:type="dxa" w:w="60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c>
          <w:tcPr>
            <w:tcW w:type="dxa" w:w="242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Apple’s enrollment page, and the paid order confirmation</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Google Play Console</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$25</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One time</w:t>
            </w:r>
          </w:p>
        </w:tc>
        <w:tc>
          <w:tcPr>
            <w:tcW w:type="dxa" w:w="60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c>
          <w:tcPr>
            <w:tcW w:type="dxa" w:w="242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Google’s page</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Twilio 10DLC registration</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$19</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One time</w:t>
            </w:r>
          </w:p>
        </w:tc>
        <w:tc>
          <w:tcPr>
            <w:tcW w:type="dxa" w:w="60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w:t>
            </w:r>
          </w:p>
        </w:tc>
        <w:tc>
          <w:tcPr>
            <w:tcW w:type="dxa" w:w="242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Owner’s document. Twilio’s page confirms fees exist but does not show the amount</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Vercel hosting</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 a month</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Monthly</w:t>
            </w:r>
          </w:p>
        </w:tc>
        <w:tc>
          <w:tcPr>
            <w:tcW w:type="dxa" w:w="60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w:t>
            </w:r>
          </w:p>
        </w:tc>
        <w:tc>
          <w:tcPr>
            <w:tcW w:type="dxa" w:w="242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Owner’s document. The project has been running on the free tier</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Codemagic build service</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$0</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Monthly, free tier</w:t>
            </w:r>
          </w:p>
        </w:tc>
        <w:tc>
          <w:tcPr>
            <w:tcW w:type="dxa" w:w="60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w:t>
            </w:r>
          </w:p>
        </w:tc>
        <w:tc>
          <w:tcPr>
            <w:tcW w:type="dxa" w:w="242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Owner’s document, not read from the vendor</w:t>
            </w:r>
          </w:p>
        </w:tc>
      </w:tr>
      <w:tr>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Twilio phone number</w:t>
            </w:r>
          </w:p>
        </w:tc>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$1.15 a month</w:t>
            </w:r>
          </w:p>
        </w:tc>
        <w:tc>
          <w:tcPr>
            <w:tcW w:type="dxa" w:w="241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Monthly</w:t>
            </w:r>
          </w:p>
        </w:tc>
        <w:tc>
          <w:tcPr>
            <w:tcW w:type="dxa" w:w="60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c>
          <w:tcPr>
            <w:tcW w:type="dxa" w:w="2421"/>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Twilio’s US page</w:t>
            </w:r>
          </w:p>
        </w:tc>
      </w:tr>
      <w:tr>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Trial loaner phones</w:t>
            </w:r>
          </w:p>
        </w:tc>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About $1,225 total: five refurbished iPhone 11 Pro Max at about $220, plus cases at about $25</w:t>
            </w:r>
          </w:p>
        </w:tc>
        <w:tc>
          <w:tcPr>
            <w:tcW w:type="dxa" w:w="241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One time, if the loaner program runs</w:t>
            </w:r>
          </w:p>
        </w:tc>
        <w:tc>
          <w:tcPr>
            <w:tcW w:type="dxa" w:w="60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w:t>
            </w:r>
          </w:p>
        </w:tc>
        <w:tc>
          <w:tcPr>
            <w:tcW w:type="dxa" w:w="2421"/>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case price is flagged as an assumption to verify</w:t>
            </w:r>
          </w:p>
        </w:tc>
      </w:tr>
    </w:tbl>
    <w:p>
      <w:pPr>
        <w:pStyle w:val="Heading2"/>
        <w:spacing w:after="110" w:before="260"/>
      </w:pPr>
      <w:r>
        <w:rPr>
          <w:rFonts w:ascii="Calibri" w:cs="Calibri" w:eastAsia="Calibri" w:hAnsi="Calibri"/>
          <w:b/>
          <w:bCs/>
          <w:color w:val="10233F"/>
          <w:sz w:val="24"/>
          <w:szCs w:val="24"/>
        </w:rPr>
        <w:t xml:space="preserve">12.2 Per transaction and per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2620"/>
        <w:gridCol w:w="4636"/>
        <w:gridCol w:w="607"/>
      </w:tblGrid>
      <w:tr>
        <w:trPr>
          <w:tblHeader/>
        </w:trPr>
        <w:tc>
          <w:tcPr>
            <w:tcW w:type="dxa" w:w="221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Cost</w:t>
            </w:r>
          </w:p>
        </w:tc>
        <w:tc>
          <w:tcPr>
            <w:tcW w:type="dxa" w:w="2620"/>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Rate</w:t>
            </w:r>
          </w:p>
        </w:tc>
        <w:tc>
          <w:tcPr>
            <w:tcW w:type="dxa" w:w="46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Applies to</w:t>
            </w:r>
          </w:p>
        </w:tc>
        <w:tc>
          <w:tcPr>
            <w:tcW w:type="dxa" w:w="60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Mark</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 store commission</w:t>
            </w:r>
          </w:p>
        </w:tc>
        <w:tc>
          <w:tcPr>
            <w:tcW w:type="dxa" w:w="262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15 percent</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Every store sale, under $1M a year, but only if the company enrolls in each store’s reduced tier before the first sale. Otherwise 30 percent.</w:t>
            </w:r>
          </w:p>
        </w:tc>
        <w:tc>
          <w:tcPr>
            <w:tcW w:type="dxa" w:w="60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RevenueCat</w:t>
            </w:r>
          </w:p>
        </w:tc>
        <w:tc>
          <w:tcPr>
            <w:tcW w:type="dxa" w:w="262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Nothing up to $2,500 of tracked revenue a month, then 1 percent of tracked revenue</w:t>
            </w:r>
          </w:p>
        </w:tc>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Store sales only. Seats invoiced direct are not tracked.</w:t>
            </w:r>
          </w:p>
        </w:tc>
        <w:tc>
          <w:tcPr>
            <w:tcW w:type="dxa" w:w="60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Card processing</w:t>
            </w:r>
          </w:p>
        </w:tc>
        <w:tc>
          <w:tcPr>
            <w:tcW w:type="dxa" w:w="262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2.9 percent plus $0.30 per domestic transaction</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Any sale made on our own website instead of a store. PayPal was read the same day at 2.89 percent plus $0.29 for cards.</w:t>
            </w:r>
          </w:p>
        </w:tc>
        <w:tc>
          <w:tcPr>
            <w:tcW w:type="dxa" w:w="60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Outbound text message</w:t>
            </w:r>
          </w:p>
        </w:tc>
        <w:tc>
          <w:tcPr>
            <w:tcW w:type="dxa" w:w="262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$0.0133 each</w:t>
            </w:r>
          </w:p>
        </w:tc>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Every everyday text a family sends</w:t>
            </w:r>
          </w:p>
        </w:tc>
        <w:tc>
          <w:tcPr>
            <w:tcW w:type="dxa" w:w="60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Emergency alert</w:t>
            </w:r>
          </w:p>
        </w:tc>
        <w:tc>
          <w:tcPr>
            <w:tcW w:type="dxa" w:w="262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$0.0266 per person alerted</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Every alert. Two segments because of the map link.</w:t>
            </w:r>
          </w:p>
        </w:tc>
        <w:tc>
          <w:tcPr>
            <w:tcW w:type="dxa" w:w="60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V</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Natural voice</w:t>
            </w:r>
          </w:p>
        </w:tc>
        <w:tc>
          <w:tcPr>
            <w:tcW w:type="dxa" w:w="262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$0.10 per family per month</w:t>
            </w:r>
          </w:p>
        </w:tc>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Every family on the subscription. This is a placeholder and has never been measured.</w:t>
            </w:r>
          </w:p>
        </w:tc>
        <w:tc>
          <w:tcPr>
            <w:tcW w:type="dxa" w:w="60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Refunds and chargebacks</w:t>
            </w:r>
          </w:p>
        </w:tc>
        <w:tc>
          <w:tcPr>
            <w:tcW w:type="dxa" w:w="262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 percent of store sales</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leakage estimate carried over from an earlier model whose source does not meet the sourcing rule.</w:t>
            </w:r>
          </w:p>
        </w:tc>
        <w:tc>
          <w:tcPr>
            <w:tcW w:type="dxa" w:w="60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Customer acquisition</w:t>
            </w:r>
          </w:p>
        </w:tc>
        <w:tc>
          <w:tcPr>
            <w:tcW w:type="dxa" w:w="262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$12 per buyer, blended</w:t>
            </w:r>
          </w:p>
        </w:tc>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Never tested. Nothing has ever been marketed.</w:t>
            </w:r>
          </w:p>
        </w:tc>
        <w:tc>
          <w:tcPr>
            <w:tcW w:type="dxa" w:w="60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w:t>
            </w:r>
          </w:p>
        </w:tc>
      </w:tr>
      <w:tr>
        <w:tc>
          <w:tcPr>
            <w:tcW w:type="dxa" w:w="221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Direct selling cost</w:t>
            </w:r>
          </w:p>
        </w:tc>
        <w:tc>
          <w:tcPr>
            <w:tcW w:type="dxa" w:w="2620"/>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 percent of institutional sales</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Sales time, travel, conferences, invoicing and collections on seats sold direct.</w:t>
            </w:r>
          </w:p>
        </w:tc>
        <w:tc>
          <w:tcPr>
            <w:tcW w:type="dxa" w:w="60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w:t>
            </w:r>
          </w:p>
        </w:tc>
      </w:tr>
      <w:tr>
        <w:tc>
          <w:tcPr>
            <w:tcW w:type="dxa" w:w="221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Salesperson, fully loaded</w:t>
            </w:r>
          </w:p>
        </w:tc>
        <w:tc>
          <w:tcPr>
            <w:tcW w:type="dxa" w:w="2620"/>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$85,000 a year</w:t>
            </w:r>
          </w:p>
        </w:tc>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placeholder with no source, because the labor statistics site was unreachable.</w:t>
            </w:r>
          </w:p>
        </w:tc>
        <w:tc>
          <w:tcPr>
            <w:tcW w:type="dxa" w:w="60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w:t>
            </w:r>
          </w:p>
        </w:tc>
      </w:tr>
    </w:tbl>
    <w:p>
      <w:pPr>
        <w:spacing w:after="100"/>
      </w:pPr>
    </w:p>
    <w:p>
      <w:pPr>
        <w:spacing w:after="140" w:before="0" w:line="276"/>
      </w:pPr>
      <w:r>
        <w:rPr>
          <w:rFonts w:ascii="Calibri" w:cs="Calibri" w:eastAsia="Calibri" w:hAnsi="Calibri"/>
          <w:color w:val="1B2333"/>
          <w:sz w:val="21"/>
          <w:szCs w:val="21"/>
        </w:rPr>
        <w:t xml:space="preserve">Published voice vendor plans, for reference, read 8 September 2026: $6, $22 and $99 a month. The per-family figure above exists because since 7 September each spoken phrase is paid for once and then cached, so the cost stops scaling with how much someone talks.</w:t>
      </w:r>
    </w:p>
    <w:p>
      <w:pPr>
        <w:pStyle w:val="Heading2"/>
        <w:spacing w:after="110" w:before="260"/>
      </w:pPr>
      <w:r>
        <w:rPr>
          <w:rFonts w:ascii="Calibri" w:cs="Calibri" w:eastAsia="Calibri" w:hAnsi="Calibri"/>
          <w:b/>
          <w:bCs/>
          <w:color w:val="10233F"/>
          <w:sz w:val="24"/>
          <w:szCs w:val="24"/>
        </w:rPr>
        <w:t xml:space="preserve">12.3 Costs that exist but have no number</w:t>
      </w:r>
    </w:p>
    <w:p>
      <w:pPr>
        <w:pStyle w:val="ListParagraph"/>
        <w:numPr>
          <w:ilvl w:val="0"/>
          <w:numId w:val="3"/>
        </w:numPr>
        <w:spacing w:after="90" w:line="276"/>
      </w:pPr>
      <w:r>
        <w:rPr>
          <w:rFonts w:ascii="Calibri" w:cs="Calibri" w:eastAsia="Calibri" w:hAnsi="Calibri"/>
          <w:color w:val="1B2333"/>
          <w:sz w:val="21"/>
          <w:szCs w:val="21"/>
        </w:rPr>
        <w:t xml:space="preserve">SendGrid, used for emergency emails and quote notifications. Recorded only as a free plan at one hundred emails a day. What it costs past that is nowhere in the working files.</w:t>
      </w:r>
    </w:p>
    <w:p>
      <w:pPr>
        <w:pStyle w:val="ListParagraph"/>
        <w:numPr>
          <w:ilvl w:val="0"/>
          <w:numId w:val="3"/>
        </w:numPr>
        <w:spacing w:after="90" w:line="276"/>
      </w:pPr>
      <w:r>
        <w:rPr>
          <w:rFonts w:ascii="Calibri" w:cs="Calibri" w:eastAsia="Calibri" w:hAnsi="Calibri"/>
          <w:color w:val="1B2333"/>
          <w:sz w:val="21"/>
          <w:szCs w:val="21"/>
        </w:rPr>
        <w:t xml:space="preserve">Upstash, the key-value store that holds every family record, every setting, every plan and every lead. Recorded only as a free plan. It is load-bearing for the entire product and its paid cost has never been checked.</w:t>
      </w:r>
    </w:p>
    <w:p>
      <w:pPr>
        <w:pStyle w:val="ListParagraph"/>
        <w:numPr>
          <w:ilvl w:val="0"/>
          <w:numId w:val="3"/>
        </w:numPr>
        <w:spacing w:after="90" w:line="276"/>
      </w:pPr>
      <w:r>
        <w:rPr>
          <w:rFonts w:ascii="Calibri" w:cs="Calibri" w:eastAsia="Calibri" w:hAnsi="Calibri"/>
          <w:color w:val="1B2333"/>
          <w:sz w:val="21"/>
          <w:szCs w:val="21"/>
        </w:rPr>
        <w:t xml:space="preserve">Domain renewals at the registrar, and the email forwarding service.</w:t>
      </w:r>
    </w:p>
    <w:p>
      <w:pPr>
        <w:pStyle w:val="ListParagraph"/>
        <w:numPr>
          <w:ilvl w:val="0"/>
          <w:numId w:val="3"/>
        </w:numPr>
        <w:spacing w:after="90" w:line="276"/>
      </w:pPr>
      <w:r>
        <w:rPr>
          <w:rFonts w:ascii="Calibri" w:cs="Calibri" w:eastAsia="Calibri" w:hAnsi="Calibri"/>
          <w:color w:val="1B2333"/>
          <w:sz w:val="21"/>
          <w:szCs w:val="21"/>
        </w:rPr>
        <w:t xml:space="preserve">Insurance, accounting, legal and tax preparation. None exists yet.</w:t>
      </w:r>
    </w:p>
    <w:p>
      <w:pPr>
        <w:pStyle w:val="ListParagraph"/>
        <w:numPr>
          <w:ilvl w:val="0"/>
          <w:numId w:val="3"/>
        </w:numPr>
        <w:spacing w:after="90" w:line="276"/>
      </w:pPr>
      <w:r>
        <w:rPr>
          <w:rFonts w:ascii="Calibri" w:cs="Calibri" w:eastAsia="Calibri" w:hAnsi="Calibri"/>
          <w:color w:val="1B2333"/>
          <w:sz w:val="21"/>
          <w:szCs w:val="21"/>
        </w:rPr>
        <w:t xml:space="preserve">Conference exhibiting. One relevant conference is in Orlando in late January 2027, but no registration, booth or travel cost was obtainable.</w:t>
      </w:r>
    </w:p>
    <w:p>
      <w:pPr>
        <w:pStyle w:val="ListParagraph"/>
        <w:numPr>
          <w:ilvl w:val="0"/>
          <w:numId w:val="3"/>
        </w:numPr>
        <w:spacing w:after="90" w:line="276"/>
      </w:pPr>
      <w:r>
        <w:rPr>
          <w:rFonts w:ascii="Calibri" w:cs="Calibri" w:eastAsia="Calibri" w:hAnsi="Calibri"/>
          <w:color w:val="1B2333"/>
          <w:sz w:val="21"/>
          <w:szCs w:val="21"/>
        </w:rPr>
        <w:t xml:space="preserve">Dedicated devices for districts that want them shipped preconfigured. Never researched.</w:t>
      </w:r>
    </w:p>
    <w:p>
      <w:pPr>
        <w:spacing w:after="60"/>
      </w:pP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8A4B00" w:sz="18"/>
              <w:bottom w:val="none"/>
              <w:right w:val="none"/>
            </w:tcBorders>
            <w:shd w:fill="FDF6EC" w:color="auto" w:val="clear"/>
            <w:tcMar>
              <w:top w:type="dxa" w:w="160"/>
              <w:left w:type="dxa" w:w="200"/>
              <w:bottom w:type="dxa" w:w="160"/>
              <w:right w:type="dxa" w:w="200"/>
            </w:tcMar>
          </w:tcPr>
          <w:p>
            <w:pPr>
              <w:spacing w:after="0" w:before="0" w:line="276"/>
            </w:pPr>
            <w:r>
              <w:rPr>
                <w:rFonts w:ascii="Calibri" w:cs="Calibri" w:eastAsia="Calibri" w:hAnsi="Calibri"/>
                <w:color w:val="5A3A08"/>
                <w:sz w:val="20"/>
                <w:szCs w:val="20"/>
              </w:rPr>
              <w:t xml:space="preserve">Two contradictions in the working files, flagged rather than resolved. The hosting and build-service costs are marked verified in one place and unverified in another, both dated the same day. Treat them as unverified until someone opens the two vendor pricing pages. And no invoice, receipt or amount actually paid by the business is recorded anywhere, so there is no historical spend to anchor against.</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13. Trademark and copyright, explained</w:t>
      </w:r>
    </w:p>
    <w:p>
      <w:pPr>
        <w:spacing w:after="140" w:before="0" w:line="276"/>
      </w:pPr>
      <w:r>
        <w:rPr>
          <w:rFonts w:ascii="Calibri" w:cs="Calibri" w:eastAsia="Calibri" w:hAnsi="Calibri"/>
          <w:color w:val="1B2333"/>
          <w:sz w:val="21"/>
          <w:szCs w:val="21"/>
        </w:rPr>
        <w:t xml:space="preserve">Two different protections that people constantly confuse. One protects the name. The other protects the thing itself. The company needs both and has filed neither.</w:t>
      </w:r>
    </w:p>
    <w:p>
      <w:pPr>
        <w:pStyle w:val="Heading2"/>
        <w:spacing w:after="110" w:before="260"/>
      </w:pPr>
      <w:r>
        <w:rPr>
          <w:rFonts w:ascii="Calibri" w:cs="Calibri" w:eastAsia="Calibri" w:hAnsi="Calibri"/>
          <w:b/>
          <w:bCs/>
          <w:color w:val="10233F"/>
          <w:sz w:val="24"/>
          <w:szCs w:val="24"/>
        </w:rPr>
        <w:t xml:space="preserve">13.1 Trademark protects the name</w:t>
      </w:r>
    </w:p>
    <w:p>
      <w:pPr>
        <w:spacing w:after="140" w:before="0" w:line="276"/>
      </w:pPr>
      <w:r>
        <w:rPr>
          <w:rFonts w:ascii="Calibri" w:cs="Calibri" w:eastAsia="Calibri" w:hAnsi="Calibri"/>
          <w:color w:val="1B2333"/>
          <w:sz w:val="21"/>
          <w:szCs w:val="21"/>
        </w:rPr>
        <w:t xml:space="preserve">A trademark stops anyone else from selling communication software under the name EZvoxa or anything confusingly close to it. It does not protect one line of the code or one piece of the artwork. All fees below are from the United States Patent and Trademark Office fee schedule in force since 18 January 2025, read 10 September 2026.</w:t>
      </w:r>
    </w:p>
    <w:p>
      <w:pPr>
        <w:spacing w:after="140" w:before="0" w:line="276"/>
      </w:pPr>
      <w:r>
        <w:rPr>
          <w:rFonts w:ascii="Calibri" w:cs="Calibri" w:eastAsia="Calibri" w:hAnsi="Calibri"/>
          <w:color w:val="1B2333"/>
          <w:sz w:val="21"/>
          <w:szCs w:val="21"/>
        </w:rPr>
        <w:t xml:space="preserve">The plan, which is a recommendation and not yet approved:</w:t>
      </w:r>
    </w:p>
    <w:p>
      <w:pPr>
        <w:pStyle w:val="ListParagraph"/>
        <w:numPr>
          <w:ilvl w:val="0"/>
          <w:numId w:val="3"/>
        </w:numPr>
        <w:spacing w:after="90" w:line="276"/>
      </w:pPr>
      <w:r>
        <w:rPr>
          <w:rFonts w:ascii="Calibri" w:cs="Calibri" w:eastAsia="Calibri" w:hAnsi="Calibri"/>
          <w:color w:val="1B2333"/>
          <w:sz w:val="21"/>
          <w:szCs w:val="21"/>
        </w:rPr>
        <w:t xml:space="preserve">One application for the word EZVOXA in standard characters, which covers the word in any font, color or logo.</w:t>
      </w:r>
    </w:p>
    <w:p>
      <w:pPr>
        <w:pStyle w:val="ListParagraph"/>
        <w:numPr>
          <w:ilvl w:val="0"/>
          <w:numId w:val="3"/>
        </w:numPr>
        <w:spacing w:after="90" w:line="276"/>
      </w:pPr>
      <w:r>
        <w:rPr>
          <w:rFonts w:ascii="Calibri" w:cs="Calibri" w:eastAsia="Calibri" w:hAnsi="Calibri"/>
          <w:color w:val="1B2333"/>
          <w:sz w:val="21"/>
          <w:szCs w:val="21"/>
        </w:rPr>
        <w:t xml:space="preserve">Owner is EZ Voice LLC, not the founder personally.</w:t>
      </w:r>
    </w:p>
    <w:p>
      <w:pPr>
        <w:pStyle w:val="ListParagraph"/>
        <w:numPr>
          <w:ilvl w:val="0"/>
          <w:numId w:val="3"/>
        </w:numPr>
        <w:spacing w:after="90" w:line="276"/>
      </w:pPr>
      <w:r>
        <w:rPr>
          <w:rFonts w:ascii="Calibri" w:cs="Calibri" w:eastAsia="Calibri" w:hAnsi="Calibri"/>
          <w:color w:val="1B2333"/>
          <w:sz w:val="21"/>
          <w:szCs w:val="21"/>
        </w:rPr>
        <w:t xml:space="preserve">Two classes. Class 9 for downloadable software, meaning the store apps. Class 42 for online non-downloadable software, meaning the web app and the district portal.</w:t>
      </w:r>
    </w:p>
    <w:p>
      <w:pPr>
        <w:pStyle w:val="ListParagraph"/>
        <w:numPr>
          <w:ilvl w:val="0"/>
          <w:numId w:val="3"/>
        </w:numPr>
        <w:spacing w:after="90" w:line="276"/>
      </w:pPr>
      <w:r>
        <w:rPr>
          <w:rFonts w:ascii="Calibri" w:cs="Calibri" w:eastAsia="Calibri" w:hAnsi="Calibri"/>
          <w:color w:val="1B2333"/>
          <w:sz w:val="21"/>
          <w:szCs w:val="21"/>
        </w:rPr>
        <w:t xml:space="preserve">Filed on an intent-to-use basis, because nothing is on sale yet.</w:t>
      </w:r>
    </w:p>
    <w:p>
      <w:pPr>
        <w:pStyle w:val="ListParagraph"/>
        <w:numPr>
          <w:ilvl w:val="0"/>
          <w:numId w:val="3"/>
        </w:numPr>
        <w:spacing w:after="90" w:line="276"/>
      </w:pPr>
      <w:r>
        <w:rPr>
          <w:rFonts w:ascii="Calibri" w:cs="Calibri" w:eastAsia="Calibri" w:hAnsi="Calibri"/>
          <w:color w:val="1B2333"/>
          <w:sz w:val="21"/>
          <w:szCs w:val="21"/>
        </w:rPr>
        <w:t xml:space="preserve">Goods descriptions picked from the office’s own manual rather than written freehand, which is what avoids a $200 per class surcharge.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6"/>
        <w:gridCol w:w="1612"/>
        <w:gridCol w:w="3832"/>
      </w:tblGrid>
      <w:tr>
        <w:trPr>
          <w:tblHeader/>
        </w:trPr>
        <w:tc>
          <w:tcPr>
            <w:tcW w:type="dxa" w:w="46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Fee</w:t>
            </w:r>
          </w:p>
        </w:tc>
        <w:tc>
          <w:tcPr>
            <w:tcW w:type="dxa" w:w="1612"/>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Amount</w:t>
            </w:r>
          </w:p>
        </w:tc>
        <w:tc>
          <w:tcPr>
            <w:tcW w:type="dxa" w:w="3832"/>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When</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Application, per class</w:t>
            </w:r>
          </w:p>
        </w:tc>
        <w:tc>
          <w:tcPr>
            <w:tcW w:type="dxa" w:w="161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$350</w:t>
            </w:r>
          </w:p>
        </w:tc>
        <w:tc>
          <w:tcPr>
            <w:tcW w:type="dxa" w:w="383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At filing. Two classes is $700</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Surcharge, freehand goods description, per class</w:t>
            </w:r>
          </w:p>
        </w:tc>
        <w:tc>
          <w:tcPr>
            <w:tcW w:type="dxa" w:w="161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$200</w:t>
            </w:r>
          </w:p>
        </w:tc>
        <w:tc>
          <w:tcPr>
            <w:tcW w:type="dxa" w:w="383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Avoidable</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Surcharge, each extra 1,000 characters, per class</w:t>
            </w:r>
          </w:p>
        </w:tc>
        <w:tc>
          <w:tcPr>
            <w:tcW w:type="dxa" w:w="161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$200</w:t>
            </w:r>
          </w:p>
        </w:tc>
        <w:tc>
          <w:tcPr>
            <w:tcW w:type="dxa" w:w="383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Avoidable</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Surcharge, insufficient information, per class</w:t>
            </w:r>
          </w:p>
        </w:tc>
        <w:tc>
          <w:tcPr>
            <w:tcW w:type="dxa" w:w="161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$100</w:t>
            </w:r>
          </w:p>
        </w:tc>
        <w:tc>
          <w:tcPr>
            <w:tcW w:type="dxa" w:w="383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Avoidable</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Statement of use, per class</w:t>
            </w:r>
          </w:p>
        </w:tc>
        <w:tc>
          <w:tcPr>
            <w:tcW w:type="dxa" w:w="161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$150</w:t>
            </w:r>
          </w:p>
        </w:tc>
        <w:tc>
          <w:tcPr>
            <w:tcW w:type="dxa" w:w="383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Once selling. Two classes is $300</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Extension to file the statement of use, per class</w:t>
            </w:r>
          </w:p>
        </w:tc>
        <w:tc>
          <w:tcPr>
            <w:tcW w:type="dxa" w:w="161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$125</w:t>
            </w:r>
          </w:p>
        </w:tc>
        <w:tc>
          <w:tcPr>
            <w:tcW w:type="dxa" w:w="383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Every six months, up to three years total</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Petition to revive an abandoned application</w:t>
            </w:r>
          </w:p>
        </w:tc>
        <w:tc>
          <w:tcPr>
            <w:tcW w:type="dxa" w:w="161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$250</w:t>
            </w:r>
          </w:p>
        </w:tc>
        <w:tc>
          <w:tcPr>
            <w:tcW w:type="dxa" w:w="383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Only if a deadline is missed</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Five year declaration of use, per class</w:t>
            </w:r>
          </w:p>
        </w:tc>
        <w:tc>
          <w:tcPr>
            <w:tcW w:type="dxa" w:w="161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$325</w:t>
            </w:r>
          </w:p>
        </w:tc>
        <w:tc>
          <w:tcPr>
            <w:tcW w:type="dxa" w:w="383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Between year five and six. A grace period adds $100 per class</w:t>
            </w:r>
          </w:p>
        </w:tc>
      </w:tr>
      <w:tr>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Same declaration with incontestability, per class</w:t>
            </w:r>
          </w:p>
        </w:tc>
        <w:tc>
          <w:tcPr>
            <w:tcW w:type="dxa" w:w="161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$575</w:t>
            </w:r>
          </w:p>
        </w:tc>
        <w:tc>
          <w:tcPr>
            <w:tcW w:type="dxa" w:w="3832"/>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Optional, stronger</w:t>
            </w:r>
          </w:p>
        </w:tc>
      </w:tr>
      <w:tr>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Ten year renewal with declaration, per class</w:t>
            </w:r>
          </w:p>
        </w:tc>
        <w:tc>
          <w:tcPr>
            <w:tcW w:type="dxa" w:w="161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$650</w:t>
            </w:r>
          </w:p>
        </w:tc>
        <w:tc>
          <w:tcPr>
            <w:tcW w:type="dxa" w:w="3832"/>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Year ten and every ten years after</w:t>
            </w:r>
          </w:p>
        </w:tc>
      </w:tr>
    </w:tbl>
    <w:p>
      <w:pPr>
        <w:spacing w:after="100"/>
      </w:pPr>
    </w:p>
    <w:p>
      <w:pPr>
        <w:spacing w:after="140" w:before="0" w:line="276"/>
      </w:pPr>
      <w:r>
        <w:rPr>
          <w:rFonts w:ascii="Calibri" w:cs="Calibri" w:eastAsia="Calibri" w:hAnsi="Calibri"/>
          <w:color w:val="1B2333"/>
          <w:sz w:val="21"/>
          <w:szCs w:val="21"/>
        </w:rPr>
        <w:t xml:space="preserve">So: $700 to file in two classes now, and $300 more at the first sale. One thousand dollars to registration if nothing goes wrong. Then $650 at year five and $1,300 at year ten, both being the two-class totals.</w:t>
      </w:r>
    </w:p>
    <w:p>
      <w:pPr>
        <w:spacing w:after="140" w:before="0" w:line="276"/>
      </w:pPr>
      <w:r>
        <w:rPr>
          <w:rFonts w:ascii="Calibri" w:cs="Calibri" w:eastAsia="Calibri" w:hAnsi="Calibri"/>
          <w:color w:val="1B2333"/>
          <w:sz w:val="21"/>
          <w:szCs w:val="21"/>
        </w:rPr>
        <w:t xml:space="preserve">The founder may use the letters TM beside the name from the filing date. The circled R symbol only after registration.</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8A4B00" w:sz="18"/>
              <w:bottom w:val="none"/>
              <w:right w:val="none"/>
            </w:tcBorders>
            <w:shd w:fill="FDF6EC" w:color="auto" w:val="clear"/>
            <w:tcMar>
              <w:top w:type="dxa" w:w="160"/>
              <w:left w:type="dxa" w:w="200"/>
              <w:bottom w:type="dxa" w:w="160"/>
              <w:right w:type="dxa" w:w="200"/>
            </w:tcMar>
          </w:tcPr>
          <w:p>
            <w:pPr>
              <w:spacing w:after="100" w:before="0" w:line="276"/>
            </w:pPr>
            <w:r>
              <w:rPr>
                <w:rFonts w:ascii="Calibri" w:cs="Calibri" w:eastAsia="Calibri" w:hAnsi="Calibri"/>
                <w:color w:val="5A3A08"/>
                <w:sz w:val="20"/>
                <w:szCs w:val="20"/>
              </w:rPr>
              <w:t xml:space="preserve">One thing must happen before any of this. Nobody has searched the register to see whether EZVOXA or EZ VOICE is already taken. The search tool could not be reached from this environment, so it is unchecked. Filing without searching is how money gets spent on an application that cannot succeed.</w:t>
            </w:r>
          </w:p>
          <w:p>
            <w:pPr>
              <w:spacing w:after="0" w:before="0" w:line="276"/>
            </w:pPr>
            <w:r>
              <w:rPr>
                <w:rFonts w:ascii="Calibri" w:cs="Calibri" w:eastAsia="Calibri" w:hAnsi="Calibri"/>
                <w:color w:val="5A3A08"/>
                <w:sz w:val="20"/>
                <w:szCs w:val="20"/>
              </w:rPr>
              <w:t xml:space="preserve">A cautionary precedent sits in the working files. A mark called GOATNET was filed in April 2021 as intent to use, its owner never responded to an examiner’s letter, and it went abandoned in June 2022. The $250 revival fee was never paid. That is the failure mode.</w:t>
            </w:r>
          </w:p>
        </w:tc>
      </w:tr>
    </w:tbl>
    <w:p>
      <w:pPr>
        <w:spacing w:after="140" w:before="60" w:line="276"/>
      </w:pPr>
      <w:r>
        <w:rPr>
          <w:rFonts w:ascii="Calibri" w:cs="Calibri" w:eastAsia="Calibri" w:hAnsi="Calibri"/>
          <w:color w:val="1B2333"/>
          <w:sz w:val="21"/>
          <w:szCs w:val="21"/>
        </w:rPr>
        <w:t xml:space="preserve">A practical consequence worth noting: the statement of use requires a screenshot of the app for sale showing the mark. That is why the app’s name in the stores must read EZvoxa exactly.</w:t>
      </w:r>
    </w:p>
    <w:p>
      <w:pPr>
        <w:pStyle w:val="Heading2"/>
        <w:spacing w:after="110" w:before="260"/>
      </w:pPr>
      <w:r>
        <w:rPr>
          <w:rFonts w:ascii="Calibri" w:cs="Calibri" w:eastAsia="Calibri" w:hAnsi="Calibri"/>
          <w:b/>
          <w:bCs/>
          <w:color w:val="10233F"/>
          <w:sz w:val="24"/>
          <w:szCs w:val="24"/>
        </w:rPr>
        <w:t xml:space="preserve">13.2 Copyright protects the work itself</w:t>
      </w:r>
    </w:p>
    <w:p>
      <w:pPr>
        <w:spacing w:after="140" w:before="0" w:line="276"/>
      </w:pPr>
      <w:r>
        <w:rPr>
          <w:rFonts w:ascii="Calibri" w:cs="Calibri" w:eastAsia="Calibri" w:hAnsi="Calibri"/>
          <w:color w:val="1B2333"/>
          <w:sz w:val="21"/>
          <w:szCs w:val="21"/>
        </w:rPr>
        <w:t xml:space="preserve">Copyright covers the source code, the neon icon set, the website text and the recorded demo narration. It exists the moment each work is created. Registration is what makes it enforceable in court, and registration is also what a district purchasing office means when it asks who the copyright owner is. Fees read from the Copyright Office on 10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209"/>
        <w:gridCol w:w="5444"/>
      </w:tblGrid>
      <w:tr>
        <w:trPr>
          <w:tblHeader/>
        </w:trPr>
        <w:tc>
          <w:tcPr>
            <w:tcW w:type="dxa" w:w="342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Filing</w:t>
            </w:r>
          </w:p>
        </w:tc>
        <w:tc>
          <w:tcPr>
            <w:tcW w:type="dxa" w:w="1209"/>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Fee</w:t>
            </w:r>
          </w:p>
        </w:tc>
        <w:tc>
          <w:tcPr>
            <w:tcW w:type="dxa" w:w="544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it covers here</w:t>
            </w:r>
          </w:p>
        </w:tc>
      </w:tr>
      <w:tr>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Standard application, one work</w:t>
            </w:r>
          </w:p>
        </w:tc>
        <w:tc>
          <w:tcPr>
            <w:tcW w:type="dxa" w:w="120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$65</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app as a computer program, claimant EZ Voice LLC</w:t>
            </w:r>
          </w:p>
        </w:tc>
      </w:tr>
      <w:tr>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Single application</w:t>
            </w:r>
          </w:p>
        </w:tc>
        <w:tc>
          <w:tcPr>
            <w:tcW w:type="dxa" w:w="120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$45</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Not usable, because the claimant is a company rather than one individual author</w:t>
            </w:r>
          </w:p>
        </w:tc>
      </w:tr>
      <w:tr>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Group of unpublished works</w:t>
            </w:r>
          </w:p>
        </w:tc>
        <w:tc>
          <w:tcPr>
            <w:tcW w:type="dxa" w:w="120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$85</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icon set, if registered before the app goes on sale</w:t>
            </w:r>
          </w:p>
        </w:tc>
      </w:tr>
      <w:tr>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Group of two-dimensional artworks</w:t>
            </w:r>
          </w:p>
        </w:tc>
        <w:tc>
          <w:tcPr>
            <w:tcW w:type="dxa" w:w="120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$85</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icon set once published</w:t>
            </w:r>
          </w:p>
        </w:tc>
      </w:tr>
      <w:tr>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Paper filing</w:t>
            </w:r>
          </w:p>
        </w:tc>
        <w:tc>
          <w:tcPr>
            <w:tcW w:type="dxa" w:w="120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$125</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Avoid, file online</w:t>
            </w:r>
          </w:p>
        </w:tc>
      </w:tr>
      <w:tr>
        <w:tc>
          <w:tcPr>
            <w:tcW w:type="dxa" w:w="342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Recording an assignment document</w:t>
            </w:r>
          </w:p>
        </w:tc>
        <w:tc>
          <w:tcPr>
            <w:tcW w:type="dxa" w:w="1209"/>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$95</w:t>
            </w:r>
          </w:p>
        </w:tc>
        <w:tc>
          <w:tcPr>
            <w:tcW w:type="dxa" w:w="544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Optional</w:t>
            </w:r>
          </w:p>
        </w:tc>
      </w:tr>
      <w:tr>
        <w:tc>
          <w:tcPr>
            <w:tcW w:type="dxa" w:w="342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Supplementary registration to correct one</w:t>
            </w:r>
          </w:p>
        </w:tc>
        <w:tc>
          <w:tcPr>
            <w:tcW w:type="dxa" w:w="1209"/>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$100</w:t>
            </w:r>
          </w:p>
        </w:tc>
        <w:tc>
          <w:tcPr>
            <w:tcW w:type="dxa" w:w="544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Only if needed</w:t>
            </w:r>
          </w:p>
        </w:tc>
      </w:tr>
    </w:tbl>
    <w:p>
      <w:pPr>
        <w:spacing w:after="100"/>
      </w:pPr>
    </w:p>
    <w:p>
      <w:pPr>
        <w:spacing w:after="140" w:before="0" w:line="276"/>
      </w:pPr>
      <w:r>
        <w:rPr>
          <w:rFonts w:ascii="Calibri" w:cs="Calibri" w:eastAsia="Calibri" w:hAnsi="Calibri"/>
          <w:color w:val="1B2333"/>
          <w:sz w:val="21"/>
          <w:szCs w:val="21"/>
        </w:rPr>
        <w:t xml:space="preserve">Planned total is $150: $65 for the software and $85 for the icon set. Deposit for software registration is a portion of the source code, and the per-group limit for artwork must be confirmed on the form itself. Both of those details are recorded as being from memory rather than read from the office’s page.</w:t>
      </w:r>
    </w:p>
    <w:tbl>
      <w:tblPr>
        <w:tblW w:type="dxa" w:w="10080"/>
        <w:tblBorders>
          <w:top w:val="none"/>
          <w:left w:val="none"/>
          <w:bottom w:val="none"/>
          <w:right w:val="none"/>
          <w:insideH w:val="none"/>
          <w:insideV w:val="none"/>
        </w:tblBorders>
      </w:tblPr>
      <w:tblGrid>
        <w:gridCol w:w="10080"/>
      </w:tblGrid>
      <w:tr>
        <w:tc>
          <w:tcPr>
            <w:tcW w:type="dxa" w:w="10080"/>
            <w:tcBorders>
              <w:top w:val="none"/>
              <w:left w:val="single" w:color="8A4B00" w:sz="18"/>
              <w:bottom w:val="none"/>
              <w:right w:val="none"/>
            </w:tcBorders>
            <w:shd w:fill="FDF6EC" w:color="auto" w:val="clear"/>
            <w:tcMar>
              <w:top w:type="dxa" w:w="160"/>
              <w:left w:type="dxa" w:w="200"/>
              <w:bottom w:type="dxa" w:w="160"/>
              <w:right w:type="dxa" w:w="200"/>
            </w:tcMar>
          </w:tcPr>
          <w:p>
            <w:pPr>
              <w:spacing w:after="0" w:before="0" w:line="276"/>
            </w:pPr>
            <w:r>
              <w:rPr>
                <w:rFonts w:ascii="Calibri" w:cs="Calibri" w:eastAsia="Calibri" w:hAnsi="Calibri"/>
                <w:color w:val="5A3A08"/>
                <w:sz w:val="20"/>
                <w:szCs w:val="20"/>
              </w:rPr>
              <w:t xml:space="preserve">An ownership gap that should be closed before any outside money arrives. Work the founder made personally belongs to him until it is assigned to the company. A one-page assignment from Frank Schaeffer to EZ Voice LLC covering the software, the artwork and the site has not been signed. His son’s likeness and story are deliberately excluded from any such assignment and never enter the product.</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14. The inputs nobody has. Read this before modeling.</w:t>
      </w:r>
    </w:p>
    <w:p>
      <w:pPr>
        <w:spacing w:after="140" w:before="0" w:line="276"/>
      </w:pPr>
      <w:r>
        <w:rPr>
          <w:rFonts w:ascii="Calibri" w:cs="Calibri" w:eastAsia="Calibri" w:hAnsi="Calibri"/>
          <w:color w:val="1B2333"/>
          <w:sz w:val="21"/>
          <w:szCs w:val="21"/>
        </w:rPr>
        <w:t xml:space="preserve">Everything above is knowable and most of it is sourced. What follows is not knowable yet. These inputs, not the arithmetic, decide whatever number a model produces, and every one of them is currently a guess by somebody.</w:t>
      </w:r>
    </w:p>
    <w:p>
      <w:pPr>
        <w:pStyle w:val="Heading2"/>
        <w:spacing w:after="110" w:before="260"/>
      </w:pPr>
      <w:r>
        <w:rPr>
          <w:rFonts w:ascii="Calibri" w:cs="Calibri" w:eastAsia="Calibri" w:hAnsi="Calibri"/>
          <w:b/>
          <w:bCs/>
          <w:color w:val="10233F"/>
          <w:sz w:val="24"/>
          <w:szCs w:val="24"/>
        </w:rPr>
        <w:t xml:space="preserve">14.1 The five that matter most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636"/>
        <w:gridCol w:w="3428"/>
      </w:tblGrid>
      <w:tr>
        <w:trPr>
          <w:tblHeader/>
        </w:trPr>
        <w:tc>
          <w:tcPr>
            <w:tcW w:type="dxa" w:w="201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Input</w:t>
            </w:r>
          </w:p>
        </w:tc>
        <w:tc>
          <w:tcPr>
            <w:tcW w:type="dxa" w:w="463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Why nothing is known</w:t>
            </w:r>
          </w:p>
        </w:tc>
        <w:tc>
          <w:tcPr>
            <w:tcW w:type="dxa" w:w="3428"/>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How it could be learned</w:t>
            </w:r>
          </w:p>
        </w:tc>
      </w:tr>
      <w:tr>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What share of the counted population ever buys</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Nothing has been marketed and nothing has been sold. Every conversion rate in the working files is a placeholder the owner was asked to set and has not.</w:t>
            </w:r>
          </w:p>
        </w:tc>
        <w:tc>
          <w:tcPr>
            <w:tcW w:type="dxa" w:w="3428"/>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One month of real store data after launch. Until then any figure is invented.</w:t>
            </w:r>
          </w:p>
        </w:tc>
      </w:tr>
      <w:tr>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Attach rate from one-time buyer to subscriber</w:t>
            </w:r>
          </w:p>
        </w:tc>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app and the subscription are separate products. No relationship between the two counts has been observed.</w:t>
            </w:r>
          </w:p>
        </w:tc>
        <w:tc>
          <w:tcPr>
            <w:tcW w:type="dxa" w:w="3428"/>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first cohort. This is the single biggest swing factor between a one-time-revenue business and a recurring one.</w:t>
            </w:r>
          </w:p>
        </w:tc>
      </w:tr>
      <w:tr>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Churn on the subscription</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 subscriber has ever existed. Note the unusual shape here: a lapse does not remove the ability to talk, only the natural voice, which likely makes churn easier than in a product that shuts off.</w:t>
            </w:r>
          </w:p>
        </w:tc>
        <w:tc>
          <w:tcPr>
            <w:tcW w:type="dxa" w:w="3428"/>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Six months of store data.</w:t>
            </w:r>
          </w:p>
        </w:tc>
      </w:tr>
      <w:tr>
        <w:tc>
          <w:tcPr>
            <w:tcW w:type="dxa" w:w="201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Cost to acquire a buyer</w:t>
            </w:r>
          </w:p>
        </w:tc>
        <w:tc>
          <w:tcPr>
            <w:tcW w:type="dxa" w:w="463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$12 in the model is inherited from an older model and was never tested.</w:t>
            </w:r>
          </w:p>
        </w:tc>
        <w:tc>
          <w:tcPr>
            <w:tcW w:type="dxa" w:w="3428"/>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small paid test on one channel.</w:t>
            </w:r>
          </w:p>
        </w:tc>
      </w:tr>
      <w:tr>
        <w:tc>
          <w:tcPr>
            <w:tcW w:type="dxa" w:w="201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Seats per district order, and how long a district takes to buy</w:t>
            </w:r>
          </w:p>
        </w:tc>
        <w:tc>
          <w:tcPr>
            <w:tcW w:type="dxa" w:w="463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Nobody has sold a single seat. The counted average is 8.7 seats per district, but the in-house planning estimate is 40 per order, and the two disagree by a factor of about five.</w:t>
            </w:r>
          </w:p>
        </w:tc>
        <w:tc>
          <w:tcPr>
            <w:tcW w:type="dxa" w:w="3428"/>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first pilot converting to a paid order.</w:t>
            </w:r>
          </w:p>
        </w:tc>
      </w:tr>
    </w:tbl>
    <w:p>
      <w:pPr>
        <w:pStyle w:val="Heading2"/>
        <w:spacing w:after="110" w:before="260"/>
      </w:pPr>
      <w:r>
        <w:rPr>
          <w:rFonts w:ascii="Calibri" w:cs="Calibri" w:eastAsia="Calibri" w:hAnsi="Calibri"/>
          <w:b/>
          <w:bCs/>
          <w:color w:val="10233F"/>
          <w:sz w:val="24"/>
          <w:szCs w:val="24"/>
        </w:rPr>
        <w:t xml:space="preserve">14.2 Everything else a model has to assume</w:t>
      </w:r>
    </w:p>
    <w:p>
      <w:pPr>
        <w:pStyle w:val="ListParagraph"/>
        <w:numPr>
          <w:ilvl w:val="0"/>
          <w:numId w:val="3"/>
        </w:numPr>
        <w:spacing w:after="90" w:line="276"/>
      </w:pPr>
      <w:r>
        <w:rPr>
          <w:rFonts w:ascii="Calibri" w:cs="Calibri" w:eastAsia="Calibri" w:hAnsi="Calibri"/>
          <w:color w:val="1B2333"/>
          <w:sz w:val="21"/>
          <w:szCs w:val="21"/>
        </w:rPr>
        <w:t xml:space="preserve">The monthly against yearly split on the subscription, which changes cash timing substantially.</w:t>
      </w:r>
    </w:p>
    <w:p>
      <w:pPr>
        <w:pStyle w:val="ListParagraph"/>
        <w:numPr>
          <w:ilvl w:val="0"/>
          <w:numId w:val="3"/>
        </w:numPr>
        <w:spacing w:after="90" w:line="276"/>
      </w:pPr>
      <w:r>
        <w:rPr>
          <w:rFonts w:ascii="Calibri" w:cs="Calibri" w:eastAsia="Calibri" w:hAnsi="Calibri"/>
          <w:color w:val="1B2333"/>
          <w:sz w:val="21"/>
          <w:szCs w:val="21"/>
        </w:rPr>
        <w:t xml:space="preserve">The share of consumer sales made on our own website rather than a store. It is set to zero in the working file, meaning the website sells nothing today.</w:t>
      </w:r>
    </w:p>
    <w:p>
      <w:pPr>
        <w:pStyle w:val="ListParagraph"/>
        <w:numPr>
          <w:ilvl w:val="0"/>
          <w:numId w:val="3"/>
        </w:numPr>
        <w:spacing w:after="90" w:line="276"/>
      </w:pPr>
      <w:r>
        <w:rPr>
          <w:rFonts w:ascii="Calibri" w:cs="Calibri" w:eastAsia="Calibri" w:hAnsi="Calibri"/>
          <w:color w:val="1B2333"/>
          <w:sz w:val="21"/>
          <w:szCs w:val="21"/>
        </w:rPr>
        <w:t xml:space="preserve">How many texts a family sends a month. The placeholder is thirty and there is no data.</w:t>
      </w:r>
    </w:p>
    <w:p>
      <w:pPr>
        <w:pStyle w:val="ListParagraph"/>
        <w:numPr>
          <w:ilvl w:val="0"/>
          <w:numId w:val="3"/>
        </w:numPr>
        <w:spacing w:after="90" w:line="276"/>
      </w:pPr>
      <w:r>
        <w:rPr>
          <w:rFonts w:ascii="Calibri" w:cs="Calibri" w:eastAsia="Calibri" w:hAnsi="Calibri"/>
          <w:color w:val="1B2333"/>
          <w:sz w:val="21"/>
          <w:szCs w:val="21"/>
        </w:rPr>
        <w:t xml:space="preserve">How many emergency alerts a family sends a year. The placeholder is two and there is no data. This one is a pure cost with no revenue against it.</w:t>
      </w:r>
    </w:p>
    <w:p>
      <w:pPr>
        <w:pStyle w:val="ListParagraph"/>
        <w:numPr>
          <w:ilvl w:val="0"/>
          <w:numId w:val="3"/>
        </w:numPr>
        <w:spacing w:after="90" w:line="276"/>
      </w:pPr>
      <w:r>
        <w:rPr>
          <w:rFonts w:ascii="Calibri" w:cs="Calibri" w:eastAsia="Calibri" w:hAnsi="Calibri"/>
          <w:color w:val="1B2333"/>
          <w:sz w:val="21"/>
          <w:szCs w:val="21"/>
        </w:rPr>
        <w:t xml:space="preserve">The real per-family cost of the natural voice, which has never been measured from the logs.</w:t>
      </w:r>
    </w:p>
    <w:p>
      <w:pPr>
        <w:pStyle w:val="ListParagraph"/>
        <w:numPr>
          <w:ilvl w:val="0"/>
          <w:numId w:val="3"/>
        </w:numPr>
        <w:spacing w:after="90" w:line="276"/>
      </w:pPr>
      <w:r>
        <w:rPr>
          <w:rFonts w:ascii="Calibri" w:cs="Calibri" w:eastAsia="Calibri" w:hAnsi="Calibri"/>
          <w:color w:val="1B2333"/>
          <w:sz w:val="21"/>
          <w:szCs w:val="21"/>
        </w:rPr>
        <w:t xml:space="preserve">Refund and chargeback rate.</w:t>
      </w:r>
    </w:p>
    <w:p>
      <w:pPr>
        <w:pStyle w:val="ListParagraph"/>
        <w:numPr>
          <w:ilvl w:val="0"/>
          <w:numId w:val="3"/>
        </w:numPr>
        <w:spacing w:after="90" w:line="276"/>
      </w:pPr>
      <w:r>
        <w:rPr>
          <w:rFonts w:ascii="Calibri" w:cs="Calibri" w:eastAsia="Calibri" w:hAnsi="Calibri"/>
          <w:color w:val="1B2333"/>
          <w:sz w:val="21"/>
          <w:szCs w:val="21"/>
        </w:rPr>
        <w:t xml:space="preserve">How many districts one salesperson can close in a year, and what a salesperson costs.</w:t>
      </w:r>
    </w:p>
    <w:p>
      <w:pPr>
        <w:pStyle w:val="ListParagraph"/>
        <w:numPr>
          <w:ilvl w:val="0"/>
          <w:numId w:val="3"/>
        </w:numPr>
        <w:spacing w:after="90" w:line="276"/>
      </w:pPr>
      <w:r>
        <w:rPr>
          <w:rFonts w:ascii="Calibri" w:cs="Calibri" w:eastAsia="Calibri" w:hAnsi="Calibri"/>
          <w:color w:val="1B2333"/>
          <w:sz w:val="21"/>
          <w:szCs w:val="21"/>
        </w:rPr>
        <w:t xml:space="preserve">Clinical seats per facility, which is an in-house estimate of five.</w:t>
      </w:r>
    </w:p>
    <w:p>
      <w:pPr>
        <w:pStyle w:val="ListParagraph"/>
        <w:numPr>
          <w:ilvl w:val="0"/>
          <w:numId w:val="3"/>
        </w:numPr>
        <w:spacing w:after="90" w:line="276"/>
      </w:pPr>
      <w:r>
        <w:rPr>
          <w:rFonts w:ascii="Calibri" w:cs="Calibri" w:eastAsia="Calibri" w:hAnsi="Calibri"/>
          <w:color w:val="1B2333"/>
          <w:sz w:val="21"/>
          <w:szCs w:val="21"/>
        </w:rPr>
        <w:t xml:space="preserve">Whether the free trial is offered, how long it runs, and what stops working when it ends. Apple permits a non-subscription app to offer a trial as a zero-priced in-app purchase, so the mechanism exists. The decision does not.</w:t>
      </w:r>
    </w:p>
    <w:p>
      <w:pPr>
        <w:pStyle w:val="ListParagraph"/>
        <w:numPr>
          <w:ilvl w:val="0"/>
          <w:numId w:val="3"/>
        </w:numPr>
        <w:spacing w:after="90" w:line="276"/>
      </w:pPr>
      <w:r>
        <w:rPr>
          <w:rFonts w:ascii="Calibri" w:cs="Calibri" w:eastAsia="Calibri" w:hAnsi="Calibri"/>
          <w:color w:val="1B2333"/>
          <w:sz w:val="21"/>
          <w:szCs w:val="21"/>
        </w:rPr>
        <w:t xml:space="preserve">Whether the schools product includes the emergency alert, which changes both its cost and its appeal.</w:t>
      </w:r>
    </w:p>
    <w:p>
      <w:pPr>
        <w:pStyle w:val="ListParagraph"/>
        <w:numPr>
          <w:ilvl w:val="0"/>
          <w:numId w:val="3"/>
        </w:numPr>
        <w:spacing w:after="90" w:line="276"/>
      </w:pPr>
      <w:r>
        <w:rPr>
          <w:rFonts w:ascii="Calibri" w:cs="Calibri" w:eastAsia="Calibri" w:hAnsi="Calibri"/>
          <w:color w:val="1B2333"/>
          <w:sz w:val="21"/>
          <w:szCs w:val="21"/>
        </w:rPr>
        <w:t xml:space="preserve">Whether the referral credit is money off the next order or free seats.</w:t>
      </w:r>
    </w:p>
    <w:p>
      <w:pPr>
        <w:pStyle w:val="Heading2"/>
        <w:spacing w:after="110" w:before="260"/>
      </w:pPr>
      <w:r>
        <w:rPr>
          <w:rFonts w:ascii="Calibri" w:cs="Calibri" w:eastAsia="Calibri" w:hAnsi="Calibri"/>
          <w:b/>
          <w:bCs/>
          <w:color w:val="10233F"/>
          <w:sz w:val="24"/>
          <w:szCs w:val="24"/>
        </w:rPr>
        <w:t xml:space="preserve">14.3 Structural risks a model should carry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Risk</w:t>
            </w:r>
          </w:p>
        </w:tc>
        <w:tc>
          <w:tcPr>
            <w:tcW w:type="dxa" w:w="7056"/>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What it would do</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Google Play account not opened</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One of four channels produces nothing. The Apple side cleared on 10 September 2026, so Android is now the only store still closed.</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Reduced commission tier not enrolled before the first sale</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Commission is 30 percent instead of 15 percent. This is a form, and missing it doubles the largest single cost line.</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Apple refuses unlisted distribution for the schools product</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default install path for districts disappears and the web app becomes the only route. Apple decides this on request.</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district portal is not built</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schools channel produces nothing at all, and the website is currently describing a system that does not exist.</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Single-founder sales capacity</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institutional pipeline is one person until somebody is hired, and the hiring cost is an unsourced placeholder.</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Key-value store and email vendor costs unknown</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Both are load-bearing and both are modeled at a free tier. Neither has been checked at volume.</w:t>
            </w:r>
          </w:p>
        </w:tc>
      </w:tr>
      <w:tr>
        <w:tc>
          <w:tcPr>
            <w:tcW w:type="dxa" w:w="3024"/>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name is unsearched</w:t>
            </w:r>
          </w:p>
        </w:tc>
        <w:tc>
          <w:tcPr>
            <w:tcW w:type="dxa" w:w="7056"/>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A trademark conflict discovered after launch is a rebrand, which resets the store listings, the domains and every printed thing.</w:t>
            </w:r>
          </w:p>
        </w:tc>
      </w:tr>
      <w:tr>
        <w:tc>
          <w:tcPr>
            <w:tcW w:type="dxa" w:w="3024"/>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Concentration in one district</w:t>
            </w:r>
          </w:p>
        </w:tc>
        <w:tc>
          <w:tcPr>
            <w:tcW w:type="dxa" w:w="7056"/>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Every institutional reference point in this document is one Florida district where the founder’s son is a student. Nothing about it is proven to generalize.</w:t>
            </w:r>
          </w:p>
        </w:tc>
      </w:tr>
    </w:tbl>
    <w:p>
      <w:r>
        <w:br w:type="page"/>
      </w:r>
    </w:p>
    <w:p>
      <w:pPr>
        <w:pStyle w:val="Heading1"/>
        <w:pBdr>
          <w:bottom w:val="single" w:color="10233F" w:sz="12" w:space="6"/>
        </w:pBdr>
        <w:spacing w:after="160" w:before="360"/>
      </w:pPr>
      <w:r>
        <w:rPr>
          <w:rFonts w:ascii="Calibri" w:cs="Calibri" w:eastAsia="Calibri" w:hAnsi="Calibri"/>
          <w:b/>
          <w:bCs/>
          <w:color w:val="10233F"/>
          <w:sz w:val="30"/>
          <w:szCs w:val="30"/>
        </w:rPr>
        <w:t xml:space="preserve">15. Open items, and where to go for what is missing</w:t>
      </w:r>
    </w:p>
    <w:p>
      <w:pPr>
        <w:pStyle w:val="Heading2"/>
        <w:spacing w:after="110" w:before="260"/>
      </w:pPr>
      <w:r>
        <w:rPr>
          <w:rFonts w:ascii="Calibri" w:cs="Calibri" w:eastAsia="Calibri" w:hAnsi="Calibri"/>
          <w:b/>
          <w:bCs/>
          <w:color w:val="10233F"/>
          <w:sz w:val="24"/>
          <w:szCs w:val="24"/>
        </w:rPr>
        <w:t xml:space="preserve">15.1 Decisions only the owner can make</w:t>
      </w:r>
    </w:p>
    <w:p>
      <w:pPr>
        <w:pStyle w:val="ListParagraph"/>
        <w:numPr>
          <w:ilvl w:val="0"/>
          <w:numId w:val="3"/>
        </w:numPr>
        <w:spacing w:after="90" w:line="276"/>
      </w:pPr>
      <w:r>
        <w:rPr>
          <w:rFonts w:ascii="Calibri" w:cs="Calibri" w:eastAsia="Calibri" w:hAnsi="Calibri"/>
          <w:color w:val="1B2333"/>
          <w:sz w:val="21"/>
          <w:szCs w:val="21"/>
        </w:rPr>
        <w:t xml:space="preserve">Confirm the prices. Nothing can be listed, printed or modeled honestly until this happens.</w:t>
      </w:r>
    </w:p>
    <w:p>
      <w:pPr>
        <w:pStyle w:val="ListParagraph"/>
        <w:numPr>
          <w:ilvl w:val="0"/>
          <w:numId w:val="3"/>
        </w:numPr>
        <w:spacing w:after="90" w:line="276"/>
      </w:pPr>
      <w:r>
        <w:rPr>
          <w:rFonts w:ascii="Calibri" w:cs="Calibri" w:eastAsia="Calibri" w:hAnsi="Calibri"/>
          <w:color w:val="1B2333"/>
          <w:sz w:val="21"/>
          <w:szCs w:val="21"/>
        </w:rPr>
        <w:t xml:space="preserve">Decide the free trial: whether, how long, and what stops.</w:t>
      </w:r>
    </w:p>
    <w:p>
      <w:pPr>
        <w:pStyle w:val="ListParagraph"/>
        <w:numPr>
          <w:ilvl w:val="0"/>
          <w:numId w:val="3"/>
        </w:numPr>
        <w:spacing w:after="90" w:line="276"/>
      </w:pPr>
      <w:r>
        <w:rPr>
          <w:rFonts w:ascii="Calibri" w:cs="Calibri" w:eastAsia="Calibri" w:hAnsi="Calibri"/>
          <w:color w:val="1B2333"/>
          <w:sz w:val="21"/>
          <w:szCs w:val="21"/>
        </w:rPr>
        <w:t xml:space="preserve">Set the conversion assumptions, or accept that anyone modeling this is inventing them.</w:t>
      </w:r>
    </w:p>
    <w:p>
      <w:pPr>
        <w:pStyle w:val="ListParagraph"/>
        <w:numPr>
          <w:ilvl w:val="0"/>
          <w:numId w:val="3"/>
        </w:numPr>
        <w:spacing w:after="90" w:line="276"/>
      </w:pPr>
      <w:r>
        <w:rPr>
          <w:rFonts w:ascii="Calibri" w:cs="Calibri" w:eastAsia="Calibri" w:hAnsi="Calibri"/>
          <w:color w:val="1B2333"/>
          <w:sz w:val="21"/>
          <w:szCs w:val="21"/>
        </w:rPr>
        <w:t xml:space="preserve">Decide whether the emergency alert ships in the schools product.</w:t>
      </w:r>
    </w:p>
    <w:p>
      <w:pPr>
        <w:pStyle w:val="ListParagraph"/>
        <w:numPr>
          <w:ilvl w:val="0"/>
          <w:numId w:val="3"/>
        </w:numPr>
        <w:spacing w:after="90" w:line="276"/>
      </w:pPr>
      <w:r>
        <w:rPr>
          <w:rFonts w:ascii="Calibri" w:cs="Calibri" w:eastAsia="Calibri" w:hAnsi="Calibri"/>
          <w:color w:val="1B2333"/>
          <w:sz w:val="21"/>
          <w:szCs w:val="21"/>
        </w:rPr>
        <w:t xml:space="preserve">Decide the referral credit’s form.</w:t>
      </w:r>
    </w:p>
    <w:p>
      <w:pPr>
        <w:pStyle w:val="ListParagraph"/>
        <w:numPr>
          <w:ilvl w:val="0"/>
          <w:numId w:val="3"/>
        </w:numPr>
        <w:spacing w:after="90" w:line="276"/>
      </w:pPr>
      <w:r>
        <w:rPr>
          <w:rFonts w:ascii="Calibri" w:cs="Calibri" w:eastAsia="Calibri" w:hAnsi="Calibri"/>
          <w:color w:val="1B2333"/>
          <w:sz w:val="21"/>
          <w:szCs w:val="21"/>
        </w:rPr>
        <w:t xml:space="preserve">Choose a payment processor for website sales.</w:t>
      </w:r>
    </w:p>
    <w:p>
      <w:pPr>
        <w:pStyle w:val="ListParagraph"/>
        <w:numPr>
          <w:ilvl w:val="0"/>
          <w:numId w:val="3"/>
        </w:numPr>
        <w:spacing w:after="90" w:line="276"/>
      </w:pPr>
      <w:r>
        <w:rPr>
          <w:rFonts w:ascii="Calibri" w:cs="Calibri" w:eastAsia="Calibri" w:hAnsi="Calibri"/>
          <w:color w:val="1B2333"/>
          <w:sz w:val="21"/>
          <w:szCs w:val="21"/>
        </w:rPr>
        <w:t xml:space="preserve">Approve the trademark filing, after the register is searched.</w:t>
      </w:r>
    </w:p>
    <w:p>
      <w:pPr>
        <w:pStyle w:val="ListParagraph"/>
        <w:numPr>
          <w:ilvl w:val="0"/>
          <w:numId w:val="3"/>
        </w:numPr>
        <w:spacing w:after="90" w:line="276"/>
      </w:pPr>
      <w:r>
        <w:rPr>
          <w:rFonts w:ascii="Calibri" w:cs="Calibri" w:eastAsia="Calibri" w:hAnsi="Calibri"/>
          <w:color w:val="1B2333"/>
          <w:sz w:val="21"/>
          <w:szCs w:val="21"/>
        </w:rPr>
        <w:t xml:space="preserve">Sign the assignment of copyright from himself to the company.</w:t>
      </w:r>
    </w:p>
    <w:p>
      <w:pPr>
        <w:pStyle w:val="Heading2"/>
        <w:spacing w:after="110" w:before="260"/>
      </w:pPr>
      <w:r>
        <w:rPr>
          <w:rFonts w:ascii="Calibri" w:cs="Calibri" w:eastAsia="Calibri" w:hAnsi="Calibri"/>
          <w:b/>
          <w:bCs/>
          <w:color w:val="10233F"/>
          <w:sz w:val="24"/>
          <w:szCs w:val="24"/>
        </w:rPr>
        <w:t xml:space="preserve">15.2 Administrative, waiting or unstarted</w:t>
      </w:r>
    </w:p>
    <w:p>
      <w:pPr>
        <w:pStyle w:val="ListParagraph"/>
        <w:numPr>
          <w:ilvl w:val="0"/>
          <w:numId w:val="3"/>
        </w:numPr>
        <w:spacing w:after="90" w:line="276"/>
      </w:pPr>
      <w:r>
        <w:rPr>
          <w:rFonts w:ascii="Calibri" w:cs="Calibri" w:eastAsia="Calibri" w:hAnsi="Calibri"/>
          <w:color w:val="1B2333"/>
          <w:sz w:val="21"/>
          <w:szCs w:val="21"/>
        </w:rPr>
        <w:t xml:space="preserve">Apple Developer Program is enrolled and paid. What remains on that side: App Store Connect access, the agreements, tax and banking forms with the W-9, and enrolling in the reduced commission tier before the first sale.</w:t>
      </w:r>
    </w:p>
    <w:p>
      <w:pPr>
        <w:pStyle w:val="ListParagraph"/>
        <w:numPr>
          <w:ilvl w:val="0"/>
          <w:numId w:val="3"/>
        </w:numPr>
        <w:spacing w:after="90" w:line="276"/>
      </w:pPr>
      <w:r>
        <w:rPr>
          <w:rFonts w:ascii="Calibri" w:cs="Calibri" w:eastAsia="Calibri" w:hAnsi="Calibri"/>
          <w:color w:val="1B2333"/>
          <w:sz w:val="21"/>
          <w:szCs w:val="21"/>
        </w:rPr>
        <w:t xml:space="preserve">Open the Google Play organization account and enroll in its reduced tier.</w:t>
      </w:r>
    </w:p>
    <w:p>
      <w:pPr>
        <w:pStyle w:val="ListParagraph"/>
        <w:numPr>
          <w:ilvl w:val="0"/>
          <w:numId w:val="3"/>
        </w:numPr>
        <w:spacing w:after="90" w:line="276"/>
      </w:pPr>
      <w:r>
        <w:rPr>
          <w:rFonts w:ascii="Calibri" w:cs="Calibri" w:eastAsia="Calibri" w:hAnsi="Calibri"/>
          <w:color w:val="1B2333"/>
          <w:sz w:val="21"/>
          <w:szCs w:val="21"/>
        </w:rPr>
        <w:t xml:space="preserve">Set the quote notification email address on the server, so district requests reach a human.</w:t>
      </w:r>
    </w:p>
    <w:p>
      <w:pPr>
        <w:pStyle w:val="ListParagraph"/>
        <w:numPr>
          <w:ilvl w:val="0"/>
          <w:numId w:val="3"/>
        </w:numPr>
        <w:spacing w:after="90" w:line="276"/>
      </w:pPr>
      <w:r>
        <w:rPr>
          <w:rFonts w:ascii="Calibri" w:cs="Calibri" w:eastAsia="Calibri" w:hAnsi="Calibri"/>
          <w:color w:val="1B2333"/>
          <w:sz w:val="21"/>
          <w:szCs w:val="21"/>
        </w:rPr>
        <w:t xml:space="preserve">Create the RevenueCat project and the store subscription products.</w:t>
      </w:r>
    </w:p>
    <w:p>
      <w:pPr>
        <w:pStyle w:val="ListParagraph"/>
        <w:numPr>
          <w:ilvl w:val="0"/>
          <w:numId w:val="3"/>
        </w:numPr>
        <w:spacing w:after="90" w:line="276"/>
      </w:pPr>
      <w:r>
        <w:rPr>
          <w:rFonts w:ascii="Calibri" w:cs="Calibri" w:eastAsia="Calibri" w:hAnsi="Calibri"/>
          <w:color w:val="1B2333"/>
          <w:sz w:val="21"/>
          <w:szCs w:val="21"/>
        </w:rPr>
        <w:t xml:space="preserve">Produce the store screenshots and the feature graphic.</w:t>
      </w:r>
    </w:p>
    <w:p>
      <w:pPr>
        <w:pStyle w:val="Heading2"/>
        <w:spacing w:after="110" w:before="260"/>
      </w:pPr>
      <w:r>
        <w:rPr>
          <w:rFonts w:ascii="Calibri" w:cs="Calibri" w:eastAsia="Calibri" w:hAnsi="Calibri"/>
          <w:b/>
          <w:bCs/>
          <w:color w:val="10233F"/>
          <w:sz w:val="24"/>
          <w:szCs w:val="24"/>
        </w:rPr>
        <w:t xml:space="preserve">15.3 Facts that could not be verified from here</w:t>
      </w:r>
    </w:p>
    <w:p>
      <w:pPr>
        <w:spacing w:after="140" w:before="0" w:line="276"/>
      </w:pPr>
      <w:r>
        <w:rPr>
          <w:rFonts w:ascii="Calibri" w:cs="Calibri" w:eastAsia="Calibri" w:hAnsi="Calibri"/>
          <w:color w:val="1B2333"/>
          <w:sz w:val="21"/>
          <w:szCs w:val="21"/>
        </w:rPr>
        <w:t xml:space="preserve">Each of these is a real gap in the research, and each names where the answer lives.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3"/>
        <w:gridCol w:w="5847"/>
      </w:tblGrid>
      <w:tr>
        <w:trPr>
          <w:tblHeader/>
        </w:trPr>
        <w:tc>
          <w:tcPr>
            <w:tcW w:type="dxa" w:w="4233"/>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Unverified</w:t>
            </w:r>
          </w:p>
        </w:tc>
        <w:tc>
          <w:tcPr>
            <w:tcW w:type="dxa" w:w="5847"/>
            <w:tcBorders>
              <w:top w:val="single" w:color="C3CBDA" w:sz="3"/>
              <w:left w:val="none"/>
              <w:bottom w:val="single" w:color="C3CBDA" w:sz="3"/>
              <w:right w:val="none"/>
            </w:tcBorders>
            <w:shd w:fill="10233F" w:color="auto" w:val="clear"/>
            <w:tcMar>
              <w:top w:type="dxa" w:w="70"/>
              <w:left w:type="dxa" w:w="110"/>
              <w:bottom w:type="dxa" w:w="70"/>
              <w:right w:type="dxa" w:w="110"/>
            </w:tcMar>
          </w:tcPr>
          <w:p>
            <w:pPr>
              <w:spacing w:after="0" w:before="0" w:line="276"/>
            </w:pPr>
            <w:r>
              <w:rPr>
                <w:rFonts w:ascii="Calibri" w:cs="Calibri" w:eastAsia="Calibri" w:hAnsi="Calibri"/>
                <w:b/>
                <w:bCs/>
                <w:color w:val="FFFFFF"/>
                <w:sz w:val="19"/>
                <w:szCs w:val="19"/>
              </w:rPr>
              <w:t xml:space="preserve">Where to look</w:t>
            </w:r>
          </w:p>
        </w:tc>
      </w:tr>
      <w:tr>
        <w:tc>
          <w:tcPr>
            <w:tcW w:type="dxa" w:w="42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Whether the name is available</w:t>
            </w:r>
          </w:p>
        </w:tc>
        <w:tc>
          <w:tcPr>
            <w:tcW w:type="dxa" w:w="584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federal trademark search system</w:t>
            </w:r>
          </w:p>
        </w:tc>
      </w:tr>
      <w:tr>
        <w:tc>
          <w:tcPr>
            <w:tcW w:type="dxa" w:w="42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two Florida agency routes in the rollout plan: the demonstration center network and the state lending library</w:t>
            </w:r>
          </w:p>
        </w:tc>
        <w:tc>
          <w:tcPr>
            <w:tcW w:type="dxa" w:w="584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Those agencies directly. Both sites refused the request</w:t>
            </w:r>
          </w:p>
        </w:tc>
      </w:tr>
      <w:tr>
        <w:tc>
          <w:tcPr>
            <w:tcW w:type="dxa" w:w="42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That district purchases here are made with federal special education funds</w:t>
            </w:r>
          </w:p>
        </w:tc>
        <w:tc>
          <w:tcPr>
            <w:tcW w:type="dxa" w:w="584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federal education department. Its sites refused the request. Only the Florida state allocation statute was actually read</w:t>
            </w:r>
          </w:p>
        </w:tc>
      </w:tr>
      <w:tr>
        <w:tc>
          <w:tcPr>
            <w:tcW w:type="dxa" w:w="42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Conference exhibiting terms and cost</w:t>
            </w:r>
          </w:p>
        </w:tc>
        <w:tc>
          <w:tcPr>
            <w:tcW w:type="dxa" w:w="584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two conference organizations. Both sites refused the request</w:t>
            </w:r>
          </w:p>
        </w:tc>
      </w:tr>
      <w:tr>
        <w:tc>
          <w:tcPr>
            <w:tcW w:type="dxa" w:w="42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Hosting and build service pricing</w:t>
            </w:r>
          </w:p>
        </w:tc>
        <w:tc>
          <w:tcPr>
            <w:tcW w:type="dxa" w:w="584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two vendors’ own pricing pages</w:t>
            </w:r>
          </w:p>
        </w:tc>
      </w:tr>
      <w:tr>
        <w:tc>
          <w:tcPr>
            <w:tcW w:type="dxa" w:w="42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Email and key-value store pricing above the free tiers</w:t>
            </w:r>
          </w:p>
        </w:tc>
        <w:tc>
          <w:tcPr>
            <w:tcW w:type="dxa" w:w="584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two vendors’ own pricing pages</w:t>
            </w:r>
          </w:p>
        </w:tc>
      </w:tr>
      <w:tr>
        <w:tc>
          <w:tcPr>
            <w:tcW w:type="dxa" w:w="42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Hardware competitors’ prices</w:t>
            </w:r>
          </w:p>
        </w:tc>
        <w:tc>
          <w:tcPr>
            <w:tcW w:type="dxa" w:w="584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Nowhere public. Not one of them publishes a price</w:t>
            </w:r>
          </w:p>
        </w:tc>
      </w:tr>
      <w:tr>
        <w:tc>
          <w:tcPr>
            <w:tcW w:type="dxa" w:w="4233"/>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2025 results for the one public competitor</w:t>
            </w:r>
          </w:p>
        </w:tc>
        <w:tc>
          <w:tcPr>
            <w:tcW w:type="dxa" w:w="5847"/>
            <w:tcBorders>
              <w:top w:val="single" w:color="C3CBDA" w:sz="3"/>
              <w:left w:val="none"/>
              <w:bottom w:val="single" w:color="C3CBDA" w:sz="3"/>
              <w:right w:val="none"/>
            </w:tcBorders>
            <w:shd w:fill="F6F8FC"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Its own annual report. Only 2024 has been read from the document</w:t>
            </w:r>
          </w:p>
        </w:tc>
      </w:tr>
      <w:tr>
        <w:tc>
          <w:tcPr>
            <w:tcW w:type="dxa" w:w="4233"/>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The source list behind one strategy page in the working files</w:t>
            </w:r>
          </w:p>
        </w:tc>
        <w:tc>
          <w:tcPr>
            <w:tcW w:type="dxa" w:w="5847"/>
            <w:tcBorders>
              <w:top w:val="single" w:color="C3CBDA" w:sz="3"/>
              <w:left w:val="none"/>
              <w:bottom w:val="single" w:color="C3CBDA" w:sz="3"/>
              <w:right w:val="none"/>
            </w:tcBorders>
            <w:shd w:fill="FFFFFF" w:color="auto" w:val="clear"/>
            <w:tcMar>
              <w:top w:type="dxa" w:w="70"/>
              <w:left w:type="dxa" w:w="110"/>
              <w:bottom w:type="dxa" w:w="70"/>
              <w:right w:type="dxa" w:w="110"/>
            </w:tcMar>
          </w:tcPr>
          <w:p>
            <w:pPr>
              <w:spacing w:after="0" w:before="0" w:line="276"/>
            </w:pPr>
            <w:r>
              <w:rPr>
                <w:rFonts w:ascii="Calibri" w:cs="Calibri" w:eastAsia="Calibri" w:hAnsi="Calibri"/>
                <w:b w:val="false"/>
                <w:bCs w:val="false"/>
                <w:color w:val="1B2333"/>
                <w:sz w:val="19"/>
                <w:szCs w:val="19"/>
              </w:rPr>
              <w:t xml:space="preserve">It was written by an outside tool and its sources were never supplied. Every figure from it should be treated as unsourced</w:t>
            </w:r>
          </w:p>
        </w:tc>
      </w:tr>
    </w:tbl>
    <w:p>
      <w:pPr>
        <w:spacing w:after="160"/>
      </w:pPr>
    </w:p>
    <w:p>
      <w:pPr>
        <w:spacing w:after="140" w:before="0" w:line="276"/>
      </w:pPr>
      <w:r>
        <w:rPr>
          <w:rFonts w:ascii="Calibri" w:cs="Calibri" w:eastAsia="Calibri" w:hAnsi="Calibri"/>
          <w:i/>
          <w:iCs/>
          <w:color w:val="44506A"/>
          <w:sz w:val="20"/>
          <w:szCs w:val="20"/>
        </w:rPr>
        <w:t xml:space="preserve">Prepared from the company’s own working records on 10 September 2026. Every figure in this document either names its source or says plainly that it is an assumption. Where two records disagreed, both are shown rather than one being quietly chosen.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EZvoxa Business and Product Handoff</dc:title>
  <dc:creator>EZ Voice LLC</dc:creator>
  <dc:description>EZvoxa Business and Product Handoff</dc:description>
  <cp:lastModifiedBy>Un-named</cp:lastModifiedBy>
  <cp:revision>1</cp:revision>
  <dcterms:created xsi:type="dcterms:W3CDTF">2026-09-11T01:39:16.523Z</dcterms:created>
  <dcterms:modified xsi:type="dcterms:W3CDTF">2026-09-11T01:39:16.535Z</dcterms:modified>
</cp:coreProperties>
</file>

<file path=docProps/custom.xml><?xml version="1.0" encoding="utf-8"?>
<Properties xmlns="http://schemas.openxmlformats.org/officeDocument/2006/custom-properties" xmlns:vt="http://schemas.openxmlformats.org/officeDocument/2006/docPropsVTypes"/>
</file>