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EZvoxa Pro: Direct Sales and Distribution Design</w:t>
      </w:r>
    </w:p>
    <w:p>
      <w:pPr>
        <w:spacing w:after="120"/>
      </w:pPr>
      <w:r>
        <w:rPr>
          <w:rFonts w:ascii="Calibri" w:cs="Calibri" w:eastAsia="Calibri" w:hAnsi="Calibri"/>
          <w:color w:val="6B6459"/>
          <w:sz w:val="22"/>
          <w:szCs w:val="22"/>
        </w:rPr>
        <w:t xml:space="preserve">9 September 2026. For Frank’s decision before anything is built. Every claim about Apple, Google or a district is read from that entity’s own page on the date given; every figure from our model says so; every cost I could not read is marked unverified. Rules in force: no guessing, no assuming; no build without Frank’s go; nothing of Evan in the product; SOS Family Alert is free and is a family feature; prices are working numbers until Frank confirms them.</w:t>
      </w:r>
    </w:p>
    <w:p>
      <w:pPr>
        <w:pStyle w:val="Heading1"/>
        <w:spacing w:after="120" w:before="320"/>
      </w:pPr>
      <w:r>
        <w:rPr>
          <w:rFonts w:ascii="Calibri" w:cs="Calibri" w:eastAsia="Calibri" w:hAnsi="Calibri"/>
        </w:rPr>
        <w:t xml:space="preserve">1. The math</w:t>
      </w:r>
    </w:p>
    <w:p>
      <w:pPr>
        <w:spacing w:after="120"/>
      </w:pPr>
      <w:r>
        <w:rPr>
          <w:rFonts w:ascii="Calibri" w:cs="Calibri" w:eastAsia="Calibri" w:hAnsi="Calibri"/>
          <w:sz w:val="22"/>
          <w:szCs w:val="22"/>
        </w:rPr>
        <w:t xml:space="preserve">Frank’s question: how many districts, how many nonverbal children. From the sources already in the model: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4800"/>
      </w:tblGrid>
      <w:tr>
        <w:tc>
          <w:tcPr>
            <w:tcW w:type="dxa" w:w="4600"/>
            <w:shd w:fill="E8E3DA" w:color="auto" w:val="clear"/>
            <w:tcMar>
              <w:top w:type="dxa" w:w="50"/>
              <w:left w:type="dxa" w:w="70"/>
              <w:bottom w:type="dxa" w:w="50"/>
              <w:right w:type="dxa" w:w="70"/>
            </w:tcMar>
          </w:tcPr>
          <w:p>
            <w:r>
              <w:rPr>
                <w:rFonts w:ascii="Calibri" w:cs="Calibri" w:eastAsia="Calibri" w:hAnsi="Calibri"/>
                <w:b/>
                <w:bCs/>
                <w:sz w:val="18"/>
                <w:szCs w:val="18"/>
              </w:rPr>
              <w:t xml:space="preserve">Line</w:t>
            </w:r>
          </w:p>
        </w:tc>
        <w:tc>
          <w:tcPr>
            <w:tcW w:type="dxa" w:w="1600"/>
            <w:shd w:fill="E8E3DA" w:color="auto" w:val="clear"/>
            <w:tcMar>
              <w:top w:type="dxa" w:w="50"/>
              <w:left w:type="dxa" w:w="70"/>
              <w:bottom w:type="dxa" w:w="50"/>
              <w:right w:type="dxa" w:w="70"/>
            </w:tcMar>
          </w:tcPr>
          <w:p>
            <w:r>
              <w:rPr>
                <w:rFonts w:ascii="Calibri" w:cs="Calibri" w:eastAsia="Calibri" w:hAnsi="Calibri"/>
                <w:b/>
                <w:bCs/>
                <w:sz w:val="18"/>
                <w:szCs w:val="18"/>
              </w:rPr>
              <w:t xml:space="preserve">Figure</w:t>
            </w:r>
          </w:p>
        </w:tc>
        <w:tc>
          <w:tcPr>
            <w:tcW w:type="dxa" w:w="4800"/>
            <w:shd w:fill="E8E3DA" w:color="auto" w:val="clear"/>
            <w:tcMar>
              <w:top w:type="dxa" w:w="50"/>
              <w:left w:type="dxa" w:w="70"/>
              <w:bottom w:type="dxa" w:w="50"/>
              <w:right w:type="dxa" w:w="70"/>
            </w:tcMar>
          </w:tcPr>
          <w:p>
            <w:r>
              <w:rPr>
                <w:rFonts w:ascii="Calibri" w:cs="Calibri" w:eastAsia="Calibri" w:hAnsi="Calibri"/>
                <w:b/>
                <w:bCs/>
                <w:sz w:val="18"/>
                <w:szCs w:val="18"/>
              </w:rPr>
              <w:t xml:space="preserve">Source</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Regular public school districts, US</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13,349</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NCES Digest table 214.30, 2019-20</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US students with autism aged 13 through 21</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386,380</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US Department of Education, IDEA child count 2024-25</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Of whom minimally verbal (30%)</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115,914</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NIH-hosted study applied to the federal count</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Counted seats per district, average</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8.7</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the two lines above</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England, autism EHC pupils aged 13 and over, minimally verbal</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14,839</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Department for Education file, 30% applied</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Florida, students with autism aged 6 through 21</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58,848</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federal state file 2024</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Florida counted seats, 13 through 21 at 34.8%, minimally verbal at 30%</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6,137</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arithmetic on the lines above</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St. Lucie County, school-age autism 2024-25</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1,035</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federal district file, uploaded by Frank</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St. Lucie counted seats, same arithmetic</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108</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arithmetic</w:t>
            </w:r>
          </w:p>
        </w:tc>
      </w:tr>
      <w:tr>
        <w:tc>
          <w:tcPr>
            <w:tcW w:type="dxa" w:w="4600"/>
            <w:tcMar>
              <w:top w:type="dxa" w:w="50"/>
              <w:left w:type="dxa" w:w="70"/>
              <w:bottom w:type="dxa" w:w="50"/>
              <w:right w:type="dxa" w:w="70"/>
            </w:tcMar>
          </w:tcPr>
          <w:p>
            <w:r>
              <w:rPr>
                <w:rFonts w:ascii="Calibri" w:cs="Calibri" w:eastAsia="Calibri" w:hAnsi="Calibri"/>
                <w:b w:val="false"/>
                <w:bCs w:val="false"/>
                <w:sz w:val="18"/>
                <w:szCs w:val="18"/>
              </w:rPr>
              <w:t xml:space="preserve">US Medicare-certified inpatient rehab facilities</w:t>
            </w:r>
          </w:p>
        </w:tc>
        <w:tc>
          <w:tcPr>
            <w:tcW w:type="dxa" w:w="1600"/>
            <w:tcMar>
              <w:top w:type="dxa" w:w="50"/>
              <w:left w:type="dxa" w:w="70"/>
              <w:bottom w:type="dxa" w:w="50"/>
              <w:right w:type="dxa" w:w="70"/>
            </w:tcMar>
          </w:tcPr>
          <w:p>
            <w:r>
              <w:rPr>
                <w:rFonts w:ascii="Calibri" w:cs="Calibri" w:eastAsia="Calibri" w:hAnsi="Calibri"/>
                <w:b w:val="false"/>
                <w:bCs w:val="false"/>
                <w:sz w:val="18"/>
                <w:szCs w:val="18"/>
              </w:rPr>
              <w:t xml:space="preserve">1,222</w:t>
            </w:r>
          </w:p>
        </w:tc>
        <w:tc>
          <w:tcPr>
            <w:tcW w:type="dxa" w:w="4800"/>
            <w:tcMar>
              <w:top w:type="dxa" w:w="50"/>
              <w:left w:type="dxa" w:w="70"/>
              <w:bottom w:type="dxa" w:w="50"/>
              <w:right w:type="dxa" w:w="70"/>
            </w:tcMar>
          </w:tcPr>
          <w:p>
            <w:r>
              <w:rPr>
                <w:rFonts w:ascii="Calibri" w:cs="Calibri" w:eastAsia="Calibri" w:hAnsi="Calibri"/>
                <w:b w:val="false"/>
                <w:bCs w:val="false"/>
                <w:sz w:val="18"/>
                <w:szCs w:val="18"/>
              </w:rPr>
              <w:t xml:space="preserve">CMS Provider Data Catalog</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What the average hides: seats sit in the district’s secondary schools and its 18 to 21 transition program, two or three per class as Frank saw, so the buyer is the district office, not a school. At list price, Florida’s counted seats are worth about $1,534,106 and St. Lucie’s about $26,981; at a negotiated $124.99 half that. These are the counted market at list, not a forecast; the forecast is the market widget’s school model, where the share that buys is Frank’s to set.</w:t>
      </w:r>
    </w:p>
    <w:p>
      <w:pPr>
        <w:pStyle w:val="Heading1"/>
        <w:spacing w:after="120" w:before="320"/>
      </w:pPr>
      <w:r>
        <w:rPr>
          <w:rFonts w:ascii="Calibri" w:cs="Calibri" w:eastAsia="Calibri" w:hAnsi="Calibri"/>
        </w:rPr>
        <w:t xml:space="preserve">2. The sales model</w:t>
      </w:r>
    </w:p>
    <w:p>
      <w:pPr>
        <w:pStyle w:val="ListParagraph"/>
        <w:numPr>
          <w:ilvl w:val="0"/>
          <w:numId w:val="2"/>
        </w:numPr>
        <w:spacing w:after="80"/>
      </w:pPr>
      <w:r>
        <w:rPr>
          <w:rFonts w:ascii="Calibri" w:cs="Calibri" w:eastAsia="Calibri" w:hAnsi="Calibri"/>
          <w:sz w:val="22"/>
          <w:szCs w:val="22"/>
        </w:rPr>
        <w:t xml:space="preserve">One seller at first: Frank. The pipeline is the pilot at Evan’s school, then St. Lucie district-wide, then the neighboring districts, then Florida, then the Southeast. Each step is a reference for the next; the referral program in section 3 pays for that.</w:t>
      </w:r>
    </w:p>
    <w:p>
      <w:pPr>
        <w:pStyle w:val="ListParagraph"/>
        <w:numPr>
          <w:ilvl w:val="0"/>
          <w:numId w:val="2"/>
        </w:numPr>
        <w:spacing w:after="80"/>
      </w:pPr>
      <w:r>
        <w:rPr>
          <w:rFonts w:ascii="Calibri" w:cs="Calibri" w:eastAsia="Calibri" w:hAnsi="Calibri"/>
          <w:sz w:val="22"/>
          <w:szCs w:val="22"/>
        </w:rPr>
        <w:t xml:space="preserve">The buyer is the ESE director and the district’s purchasing office. What they need from us, from St. Lucie’s own purchasing manual: a vendor application with a W-9 and the district’s insurance and hold harmless agreement; an email address that receives electronic purchase orders; invoices that carry the PO number; 45-day payment terms.</w:t>
      </w:r>
    </w:p>
    <w:p>
      <w:pPr>
        <w:pStyle w:val="ListParagraph"/>
        <w:numPr>
          <w:ilvl w:val="0"/>
          <w:numId w:val="2"/>
        </w:numPr>
        <w:spacing w:after="80"/>
      </w:pPr>
      <w:r>
        <w:rPr>
          <w:rFonts w:ascii="Calibri" w:cs="Calibri" w:eastAsia="Calibri" w:hAnsi="Calibri"/>
          <w:sz w:val="22"/>
          <w:szCs w:val="22"/>
        </w:rPr>
        <w:t xml:space="preserve">What the rules give us, from the same manual and Florida Administrative Rule 6A-1.012 cited in it: orders up to $10,000 need no written quotes; $10,000.01 to $49,999.99 need three quotes; $50,000.01 and up need a formal solicitation; and computer software bought directly from the copyright owner is exempt from competitive solicitation. EZ Voice LLC is the copyright owner. A sole source letter from us on company paper is the document the director attaches.</w:t>
      </w:r>
    </w:p>
    <w:p>
      <w:pPr>
        <w:pStyle w:val="ListParagraph"/>
        <w:numPr>
          <w:ilvl w:val="0"/>
          <w:numId w:val="2"/>
        </w:numPr>
        <w:spacing w:after="80"/>
      </w:pPr>
      <w:r>
        <w:rPr>
          <w:rFonts w:ascii="Calibri" w:cs="Calibri" w:eastAsia="Calibri" w:hAnsi="Calibri"/>
          <w:sz w:val="22"/>
          <w:szCs w:val="22"/>
        </w:rPr>
        <w:t xml:space="preserve">The demo video with Frank’s own voiceover is the first thing a director sees, on the corporate section of the website, before any call.</w:t>
      </w:r>
    </w:p>
    <w:p>
      <w:pPr>
        <w:pStyle w:val="ListParagraph"/>
        <w:numPr>
          <w:ilvl w:val="0"/>
          <w:numId w:val="2"/>
        </w:numPr>
        <w:spacing w:after="80"/>
      </w:pPr>
      <w:r>
        <w:rPr>
          <w:rFonts w:ascii="Calibri" w:cs="Calibri" w:eastAsia="Calibri" w:hAnsi="Calibri"/>
          <w:sz w:val="22"/>
          <w:szCs w:val="22"/>
        </w:rPr>
        <w:t xml:space="preserve">Clinics and rehab centers are the same motion with a smaller order: a facility director, a purchase order, five seats.</w:t>
      </w:r>
    </w:p>
    <w:p>
      <w:pPr>
        <w:pStyle w:val="Heading1"/>
        <w:spacing w:after="120" w:before="320"/>
      </w:pPr>
      <w:r>
        <w:rPr>
          <w:rFonts w:ascii="Calibri" w:cs="Calibri" w:eastAsia="Calibri" w:hAnsi="Calibri"/>
        </w:rPr>
        <w:t xml:space="preserve">3. Pricing: flexibility by design</w:t>
      </w:r>
    </w:p>
    <w:p>
      <w:pPr>
        <w:spacing w:after="120"/>
      </w:pPr>
      <w:r>
        <w:rPr>
          <w:rFonts w:ascii="Calibri" w:cs="Calibri" w:eastAsia="Calibri" w:hAnsi="Calibri"/>
          <w:sz w:val="22"/>
          <w:szCs w:val="22"/>
        </w:rPr>
        <w:t xml:space="preserve">Frank, 8 and 9 September: no fixed pricing structure; the ability to negotiate on the size of the purchase; heavy discounts for a poorer district with many nonverbal children without raising prices elsewhere; discounts to take a district district-wide; a referral program when a district brings in others. The design that makes all of that possible without a spreadsheet of exceptions:</w:t>
      </w:r>
    </w:p>
    <w:p>
      <w:pPr>
        <w:pStyle w:val="ListParagraph"/>
        <w:numPr>
          <w:ilvl w:val="0"/>
          <w:numId w:val="2"/>
        </w:numPr>
        <w:spacing w:after="80"/>
      </w:pPr>
      <w:r>
        <w:rPr>
          <w:rFonts w:ascii="Calibri" w:cs="Calibri" w:eastAsia="Calibri" w:hAnsi="Calibri"/>
          <w:sz w:val="22"/>
          <w:szCs w:val="22"/>
        </w:rPr>
        <w:t xml:space="preserve">One list price, $249.99 a seat, on the website and on every quote. It is the anchor and it is level with Proloquo2Go’s $249.99 (Apple’s store data, 8 Sep).</w:t>
      </w:r>
    </w:p>
    <w:p>
      <w:pPr>
        <w:pStyle w:val="ListParagraph"/>
        <w:numPr>
          <w:ilvl w:val="0"/>
          <w:numId w:val="2"/>
        </w:numPr>
        <w:spacing w:after="80"/>
      </w:pPr>
      <w:r>
        <w:rPr>
          <w:rFonts w:ascii="Calibri" w:cs="Calibri" w:eastAsia="Calibri" w:hAnsi="Calibri"/>
          <w:sz w:val="22"/>
          <w:szCs w:val="22"/>
        </w:rPr>
        <w:t xml:space="preserve">Every order is a quote. The quote carries the seat count, the unit price Frank chose, the reason code (list, volume, district-wide, hardship, referral, pilot), and the referral source if any. The reason codes are for our records, never printed on the district’s copy.</w:t>
      </w:r>
    </w:p>
    <w:p>
      <w:pPr>
        <w:pStyle w:val="ListParagraph"/>
        <w:numPr>
          <w:ilvl w:val="0"/>
          <w:numId w:val="2"/>
        </w:numPr>
        <w:spacing w:after="80"/>
      </w:pPr>
      <w:r>
        <w:rPr>
          <w:rFonts w:ascii="Calibri" w:cs="Calibri" w:eastAsia="Calibri" w:hAnsi="Calibri"/>
          <w:sz w:val="22"/>
          <w:szCs w:val="22"/>
        </w:rPr>
        <w:t xml:space="preserve">Discount authority is Frank’s, per deal, in the portal, not a table the customer can see. A hardship district is a reason code, not a public program, so nothing has to be justified to another district.</w:t>
      </w:r>
    </w:p>
    <w:p>
      <w:pPr>
        <w:pStyle w:val="ListParagraph"/>
        <w:numPr>
          <w:ilvl w:val="0"/>
          <w:numId w:val="2"/>
        </w:numPr>
        <w:spacing w:after="80"/>
      </w:pPr>
      <w:r>
        <w:rPr>
          <w:rFonts w:ascii="Calibri" w:cs="Calibri" w:eastAsia="Calibri" w:hAnsi="Calibri"/>
          <w:sz w:val="22"/>
          <w:szCs w:val="22"/>
        </w:rPr>
        <w:t xml:space="preserve">Referral program: a district that brings in another district earns a credit on its next order or its next year’s seats, set by Frank per deal. The portal records who referred whom so the credit is automatic when the second district’s order is paid.</w:t>
      </w:r>
    </w:p>
    <w:p>
      <w:pPr>
        <w:pStyle w:val="ListParagraph"/>
        <w:numPr>
          <w:ilvl w:val="0"/>
          <w:numId w:val="2"/>
        </w:numPr>
        <w:spacing w:after="80"/>
      </w:pPr>
      <w:r>
        <w:rPr>
          <w:rFonts w:ascii="Calibri" w:cs="Calibri" w:eastAsia="Calibri" w:hAnsi="Calibri"/>
          <w:sz w:val="22"/>
          <w:szCs w:val="22"/>
        </w:rPr>
        <w:t xml:space="preserve">Pilots: a seat count at $0 for a set period, recorded as a quote with reason code pilot, so a pilot converts to a paid order without re-entry.</w:t>
      </w:r>
    </w:p>
    <w:p>
      <w:pPr>
        <w:pStyle w:val="ListParagraph"/>
        <w:numPr>
          <w:ilvl w:val="0"/>
          <w:numId w:val="2"/>
        </w:numPr>
        <w:spacing w:after="80"/>
      </w:pPr>
      <w:r>
        <w:rPr>
          <w:rFonts w:ascii="Calibri" w:cs="Calibri" w:eastAsia="Calibri" w:hAnsi="Calibri"/>
          <w:sz w:val="22"/>
          <w:szCs w:val="22"/>
        </w:rPr>
        <w:t xml:space="preserve">The model keeps a single stand-in for what negotiated orders average ($124.99 at 20 or more seats) and a 10% direct selling cost; both are Frank’s to change as real orders come in.</w:t>
      </w:r>
    </w:p>
    <w:p>
      <w:pPr>
        <w:pStyle w:val="Heading1"/>
        <w:spacing w:after="120" w:before="320"/>
      </w:pPr>
      <w:r>
        <w:rPr>
          <w:rFonts w:ascii="Calibri" w:cs="Calibri" w:eastAsia="Calibri" w:hAnsi="Calibri"/>
        </w:rPr>
        <w:t xml:space="preserve">4. How the app reaches a district: what Apple and Google allow</w:t>
      </w:r>
    </w:p>
    <w:p>
      <w:pPr>
        <w:spacing w:after="120"/>
      </w:pPr>
      <w:r>
        <w:rPr>
          <w:rFonts w:ascii="Calibri" w:cs="Calibri" w:eastAsia="Calibri" w:hAnsi="Calibri"/>
          <w:sz w:val="22"/>
          <w:szCs w:val="22"/>
        </w:rPr>
        <w:t xml:space="preserve">Read from Apple’s App Review Guidelines and its distribution pages, and from Google’s Managed Google Play help, on 9 September 2026. These are the constraints, in their words; the design in section 5 follows from them.</w:t>
      </w:r>
    </w:p>
    <w:p>
      <w:pPr>
        <w:pStyle w:val="ListParagraph"/>
        <w:numPr>
          <w:ilvl w:val="0"/>
          <w:numId w:val="2"/>
        </w:numPr>
        <w:spacing w:after="80"/>
      </w:pPr>
      <w:r>
        <w:rPr>
          <w:rFonts w:ascii="Calibri" w:cs="Calibri" w:eastAsia="Calibri" w:hAnsi="Calibri"/>
          <w:sz w:val="22"/>
          <w:szCs w:val="22"/>
        </w:rPr>
        <w:t xml:space="preserve">Apple 3.1.1: an app may not unlock features with its own license keys; unlocking inside an app must use in-app purchase.</w:t>
      </w:r>
    </w:p>
    <w:p>
      <w:pPr>
        <w:pStyle w:val="ListParagraph"/>
        <w:numPr>
          <w:ilvl w:val="0"/>
          <w:numId w:val="2"/>
        </w:numPr>
        <w:spacing w:after="80"/>
      </w:pPr>
      <w:r>
        <w:rPr>
          <w:rFonts w:ascii="Calibri" w:cs="Calibri" w:eastAsia="Calibri" w:hAnsi="Calibri"/>
          <w:sz w:val="22"/>
          <w:szCs w:val="22"/>
        </w:rPr>
        <w:t xml:space="preserve">Apple 3.1.3(c), Enterprise Services: “If your app is only sold directly by you to organizations or groups for their employees or students (for example professional databases and classroom management tools), you may allow enterprise users to access previously-purchased content or subscriptions. Consumer, single user, or family sales must use in-app purchase.” This is the rule EZvoxa Pro lives under: a separate app, sold only to organizations, unlocked by the organization’s purchase.</w:t>
      </w:r>
    </w:p>
    <w:p>
      <w:pPr>
        <w:pStyle w:val="ListParagraph"/>
        <w:numPr>
          <w:ilvl w:val="0"/>
          <w:numId w:val="2"/>
        </w:numPr>
        <w:spacing w:after="80"/>
      </w:pPr>
      <w:r>
        <w:rPr>
          <w:rFonts w:ascii="Calibri" w:cs="Calibri" w:eastAsia="Calibri" w:hAnsi="Calibri"/>
          <w:sz w:val="22"/>
          <w:szCs w:val="22"/>
        </w:rPr>
        <w:t xml:space="preserve">Apple 3.1.3(b), Multiplatform Services: an app may let people access what they bought on your website, provided the same item is also available as an in-app purchase. This is the rule for a family who buys on ezvoxa.com and later installs the store app.</w:t>
      </w:r>
    </w:p>
    <w:p>
      <w:pPr>
        <w:pStyle w:val="ListParagraph"/>
        <w:numPr>
          <w:ilvl w:val="0"/>
          <w:numId w:val="2"/>
        </w:numPr>
        <w:spacing w:after="80"/>
      </w:pPr>
      <w:r>
        <w:rPr>
          <w:rFonts w:ascii="Calibri" w:cs="Calibri" w:eastAsia="Calibri" w:hAnsi="Calibri"/>
          <w:sz w:val="22"/>
          <w:szCs w:val="22"/>
        </w:rPr>
        <w:t xml:space="preserve">Apple, Unlisted App Distribution: an app can be on the App Store but discoverable only with a direct link, not in search or categories; for limited audiences such as partners, higher-education students or conference attendees; it works on managed and unmanaged devices, through Apple School Manager or not, in every App Store region; the app is submitted to App Review with a note, and a request for unlisted distribution follows.</w:t>
      </w:r>
    </w:p>
    <w:p>
      <w:pPr>
        <w:pStyle w:val="ListParagraph"/>
        <w:numPr>
          <w:ilvl w:val="0"/>
          <w:numId w:val="2"/>
        </w:numPr>
        <w:spacing w:after="80"/>
      </w:pPr>
      <w:r>
        <w:rPr>
          <w:rFonts w:ascii="Calibri" w:cs="Calibri" w:eastAsia="Calibri" w:hAnsi="Calibri"/>
          <w:sz w:val="22"/>
          <w:szCs w:val="22"/>
        </w:rPr>
        <w:t xml:space="preserve">Apple, Custom Apps: an app can be made available only to specific organizations, by organization ID, distributed through Apple Business or Apple School Manager. Only organizations enrolled in those programs can receive it.</w:t>
      </w:r>
    </w:p>
    <w:p>
      <w:pPr>
        <w:pStyle w:val="ListParagraph"/>
        <w:numPr>
          <w:ilvl w:val="0"/>
          <w:numId w:val="2"/>
        </w:numPr>
        <w:spacing w:after="80"/>
      </w:pPr>
      <w:r>
        <w:rPr>
          <w:rFonts w:ascii="Calibri" w:cs="Calibri" w:eastAsia="Calibri" w:hAnsi="Calibri"/>
          <w:sz w:val="22"/>
          <w:szCs w:val="22"/>
        </w:rPr>
        <w:t xml:space="preserve">Apple, education pricing: a public app can be offered at 50% to institutions buying 20 or more copies. Not our channel, by Frank’s decision, but it stays available if a district ever insists on buying through Apple School Manager.</w:t>
      </w:r>
    </w:p>
    <w:p>
      <w:pPr>
        <w:pStyle w:val="ListParagraph"/>
        <w:numPr>
          <w:ilvl w:val="0"/>
          <w:numId w:val="2"/>
        </w:numPr>
        <w:spacing w:after="80"/>
      </w:pPr>
      <w:r>
        <w:rPr>
          <w:rFonts w:ascii="Calibri" w:cs="Calibri" w:eastAsia="Calibri" w:hAnsi="Calibri"/>
          <w:sz w:val="22"/>
          <w:szCs w:val="22"/>
        </w:rPr>
        <w:t xml:space="preserve">Apple, TestFlight: up to 10,000 external testers by link. It is a beta program, not a sales channel, and is not used here.</w:t>
      </w:r>
    </w:p>
    <w:p>
      <w:pPr>
        <w:pStyle w:val="ListParagraph"/>
        <w:numPr>
          <w:ilvl w:val="0"/>
          <w:numId w:val="2"/>
        </w:numPr>
        <w:spacing w:after="80"/>
      </w:pPr>
      <w:r>
        <w:rPr>
          <w:rFonts w:ascii="Calibri" w:cs="Calibri" w:eastAsia="Calibri" w:hAnsi="Calibri"/>
          <w:sz w:val="22"/>
          <w:szCs w:val="22"/>
        </w:rPr>
        <w:t xml:space="preserve">Google, Managed Google Play: a private app is published from the Play Console and made available only to a named organization, which distributes it through its own device management. It needs the district to run Android device management; a district that does not can install a public listing.</w:t>
      </w:r>
    </w:p>
    <w:p>
      <w:pPr>
        <w:pStyle w:val="ListParagraph"/>
        <w:numPr>
          <w:ilvl w:val="0"/>
          <w:numId w:val="2"/>
        </w:numPr>
        <w:spacing w:after="80"/>
      </w:pPr>
      <w:r>
        <w:rPr>
          <w:rFonts w:ascii="Calibri" w:cs="Calibri" w:eastAsia="Calibri" w:hAnsi="Calibri"/>
          <w:sz w:val="22"/>
          <w:szCs w:val="22"/>
        </w:rPr>
        <w:t xml:space="preserve">Our own web app: EZvoxa already runs as an installable web app from our domain, with Backup and Restore built and a release lane at app.ezvoxa.com that only moves when a release is cut. No store, no account, no gatekeeper, and the same code the store app runs.</w:t>
      </w:r>
    </w:p>
    <w:p>
      <w:pPr>
        <w:pStyle w:val="Heading1"/>
        <w:spacing w:after="120" w:before="320"/>
      </w:pPr>
      <w:r>
        <w:rPr>
          <w:rFonts w:ascii="Calibri" w:cs="Calibri" w:eastAsia="Calibri" w:hAnsi="Calibri"/>
        </w:rPr>
        <w:t xml:space="preserve">5. Recommended setup</w:t>
      </w:r>
    </w:p>
    <w:p>
      <w:pPr>
        <w:spacing w:after="120"/>
      </w:pPr>
      <w:r>
        <w:rPr>
          <w:rFonts w:ascii="Calibri" w:cs="Calibri" w:eastAsia="Calibri" w:hAnsi="Calibri"/>
          <w:sz w:val="22"/>
          <w:szCs w:val="22"/>
        </w:rPr>
        <w:t xml:space="preserve">One license system, three ways to install, so no district is told no.</w:t>
      </w:r>
    </w:p>
    <w:p>
      <w:pPr>
        <w:pStyle w:val="Heading2"/>
        <w:spacing w:after="100" w:before="240"/>
      </w:pPr>
      <w:r>
        <w:rPr>
          <w:rFonts w:ascii="Calibri" w:cs="Calibri" w:eastAsia="Calibri" w:hAnsi="Calibri"/>
        </w:rPr>
        <w:t xml:space="preserve">The license system: an organization account, not a license key</w:t>
      </w:r>
    </w:p>
    <w:p>
      <w:pPr>
        <w:pStyle w:val="ListParagraph"/>
        <w:numPr>
          <w:ilvl w:val="0"/>
          <w:numId w:val="2"/>
        </w:numPr>
        <w:spacing w:after="80"/>
      </w:pPr>
      <w:r>
        <w:rPr>
          <w:rFonts w:ascii="Calibri" w:cs="Calibri" w:eastAsia="Calibri" w:hAnsi="Calibri"/>
          <w:sz w:val="22"/>
          <w:szCs w:val="22"/>
        </w:rPr>
        <w:t xml:space="preserve">A district gets an organization account in our portal. Frank creates it when the quote is signed. It holds the seat count, the schools, and the district administrator’s email. No student names, no student data, ever; that is the privacy promise Frank raised and it is a design rule.</w:t>
      </w:r>
    </w:p>
    <w:p>
      <w:pPr>
        <w:pStyle w:val="ListParagraph"/>
        <w:numPr>
          <w:ilvl w:val="0"/>
          <w:numId w:val="2"/>
        </w:numPr>
        <w:spacing w:after="80"/>
      </w:pPr>
      <w:r>
        <w:rPr>
          <w:rFonts w:ascii="Calibri" w:cs="Calibri" w:eastAsia="Calibri" w:hAnsi="Calibri"/>
          <w:sz w:val="22"/>
          <w:szCs w:val="22"/>
        </w:rPr>
        <w:t xml:space="preserve">A device joins the district the way a phone joins a family today: a code. The district administrator issues a join code per school or per device from the portal; the device enters it once; our server counts the seat against the order. This is the Family Code machinery already built, with an organization instead of a family and with no Tether features attached.</w:t>
      </w:r>
    </w:p>
    <w:p>
      <w:pPr>
        <w:pStyle w:val="ListParagraph"/>
        <w:numPr>
          <w:ilvl w:val="0"/>
          <w:numId w:val="2"/>
        </w:numPr>
        <w:spacing w:after="80"/>
      </w:pPr>
      <w:r>
        <w:rPr>
          <w:rFonts w:ascii="Calibri" w:cs="Calibri" w:eastAsia="Calibri" w:hAnsi="Calibri"/>
          <w:sz w:val="22"/>
          <w:szCs w:val="22"/>
        </w:rPr>
        <w:t xml:space="preserve">This satisfies Apple 3.1.3(c) because the seat was purchased by the organization from us, and the app is sold only to organizations. The consumer app stays a separate listing with in-app purchase, as Apple requires for families.</w:t>
      </w:r>
    </w:p>
    <w:p>
      <w:pPr>
        <w:pStyle w:val="Heading2"/>
        <w:spacing w:after="100" w:before="240"/>
      </w:pPr>
      <w:r>
        <w:rPr>
          <w:rFonts w:ascii="Calibri" w:cs="Calibri" w:eastAsia="Calibri" w:hAnsi="Calibri"/>
        </w:rPr>
        <w:t xml:space="preserve">Install path A, the default: unlisted store apps plus the web app</w:t>
      </w:r>
    </w:p>
    <w:p>
      <w:pPr>
        <w:pStyle w:val="ListParagraph"/>
        <w:numPr>
          <w:ilvl w:val="0"/>
          <w:numId w:val="2"/>
        </w:numPr>
        <w:spacing w:after="80"/>
      </w:pPr>
      <w:r>
        <w:rPr>
          <w:rFonts w:ascii="Calibri" w:cs="Calibri" w:eastAsia="Calibri" w:hAnsi="Calibri"/>
          <w:sz w:val="22"/>
          <w:szCs w:val="22"/>
        </w:rPr>
        <w:t xml:space="preserve">EZvoxa Pro on the App Store as an unlisted app: free to download, reachable only by the link on the district’s portal page, not searchable. It installs on any iPad or iPhone, managed by the district or not, and updates through the store like any app. Same on Google Play as a normal free listing, unlocked the same way.</w:t>
      </w:r>
    </w:p>
    <w:p>
      <w:pPr>
        <w:pStyle w:val="ListParagraph"/>
        <w:numPr>
          <w:ilvl w:val="0"/>
          <w:numId w:val="2"/>
        </w:numPr>
        <w:spacing w:after="80"/>
      </w:pPr>
      <w:r>
        <w:rPr>
          <w:rFonts w:ascii="Calibri" w:cs="Calibri" w:eastAsia="Calibri" w:hAnsi="Calibri"/>
          <w:sz w:val="22"/>
          <w:szCs w:val="22"/>
        </w:rPr>
        <w:t xml:space="preserve">The web app for anyone who cannot or will not use a store: install from app.ezvoxa.com to the home screen, enter the join code, done. It is the fallback that means a district with no Apple accounts is still a customer.</w:t>
      </w:r>
    </w:p>
    <w:p>
      <w:pPr>
        <w:pStyle w:val="Heading2"/>
        <w:spacing w:after="100" w:before="240"/>
      </w:pPr>
      <w:r>
        <w:rPr>
          <w:rFonts w:ascii="Calibri" w:cs="Calibri" w:eastAsia="Calibri" w:hAnsi="Calibri"/>
        </w:rPr>
        <w:t xml:space="preserve">Install path B: Custom App through Apple School Manager</w:t>
      </w:r>
    </w:p>
    <w:p>
      <w:pPr>
        <w:pStyle w:val="ListParagraph"/>
        <w:numPr>
          <w:ilvl w:val="0"/>
          <w:numId w:val="2"/>
        </w:numPr>
        <w:spacing w:after="80"/>
      </w:pPr>
      <w:r>
        <w:rPr>
          <w:rFonts w:ascii="Calibri" w:cs="Calibri" w:eastAsia="Calibri" w:hAnsi="Calibri"/>
          <w:sz w:val="22"/>
          <w:szCs w:val="22"/>
        </w:rPr>
        <w:t xml:space="preserve">For a district that insists everything come through Apple School Manager, EZvoxa Pro is also offered as a custom app to that district’s organization ID, at no charge in the store, invoiced by us. Same license system. This is the only path that requires the district to be enrolled with Apple.</w:t>
      </w:r>
    </w:p>
    <w:p>
      <w:pPr>
        <w:pStyle w:val="Heading2"/>
        <w:spacing w:after="100" w:before="240"/>
      </w:pPr>
      <w:r>
        <w:rPr>
          <w:rFonts w:ascii="Calibri" w:cs="Calibri" w:eastAsia="Calibri" w:hAnsi="Calibri"/>
        </w:rPr>
        <w:t xml:space="preserve">Install path C: dedicated devices</w:t>
      </w:r>
    </w:p>
    <w:p>
      <w:pPr>
        <w:pStyle w:val="ListParagraph"/>
        <w:numPr>
          <w:ilvl w:val="0"/>
          <w:numId w:val="2"/>
        </w:numPr>
        <w:spacing w:after="80"/>
      </w:pPr>
      <w:r>
        <w:rPr>
          <w:rFonts w:ascii="Calibri" w:cs="Calibri" w:eastAsia="Calibri" w:hAnsi="Calibri"/>
          <w:sz w:val="22"/>
          <w:szCs w:val="22"/>
        </w:rPr>
        <w:t xml:space="preserve">Refurbished iPhone Pro Max devices, supervised, locked to the app, shipped configured with the district’s join code. Frank’s preference is not to start here. Costs are unverified: device prices, supervision tooling, shipping, replacement. I would price it only when a district asks, as a separate line on the quote.</w:t>
      </w:r>
    </w:p>
    <w:p>
      <w:pPr>
        <w:pStyle w:val="Heading2"/>
        <w:spacing w:after="100" w:before="240"/>
      </w:pPr>
      <w:r>
        <w:rPr>
          <w:rFonts w:ascii="Calibri" w:cs="Calibri" w:eastAsia="Calibri" w:hAnsi="Calibri"/>
        </w:rPr>
        <w:t xml:space="preserve">Updates, once or twice a year</w:t>
      </w:r>
    </w:p>
    <w:p>
      <w:pPr>
        <w:pStyle w:val="ListParagraph"/>
        <w:numPr>
          <w:ilvl w:val="0"/>
          <w:numId w:val="2"/>
        </w:numPr>
        <w:spacing w:after="80"/>
      </w:pPr>
      <w:r>
        <w:rPr>
          <w:rFonts w:ascii="Calibri" w:cs="Calibri" w:eastAsia="Calibri" w:hAnsi="Calibri"/>
          <w:sz w:val="22"/>
          <w:szCs w:val="22"/>
        </w:rPr>
        <w:t xml:space="preserve">Store apps: submitted when Frank cuts a release. Web app: the release lane at app.ezvoxa.com moves only when a release is deliberately cut, fast-forward only, which is already how it is built. Districts get a release note by email from the portal. Nothing on a district device changes on its own between releases.</w:t>
      </w:r>
    </w:p>
    <w:p>
      <w:pPr>
        <w:pStyle w:val="Heading2"/>
        <w:spacing w:after="100" w:before="240"/>
      </w:pPr>
      <w:r>
        <w:rPr>
          <w:rFonts w:ascii="Calibri" w:cs="Calibri" w:eastAsia="Calibri" w:hAnsi="Calibri"/>
        </w:rPr>
        <w:t xml:space="preserve">Backup and restore</w:t>
      </w:r>
    </w:p>
    <w:p>
      <w:pPr>
        <w:pStyle w:val="ListParagraph"/>
        <w:numPr>
          <w:ilvl w:val="0"/>
          <w:numId w:val="2"/>
        </w:numPr>
        <w:spacing w:after="80"/>
      </w:pPr>
      <w:r>
        <w:rPr>
          <w:rFonts w:ascii="Calibri" w:cs="Calibri" w:eastAsia="Calibri" w:hAnsi="Calibri"/>
          <w:sz w:val="22"/>
          <w:szCs w:val="22"/>
        </w:rPr>
        <w:t xml:space="preserve">Already built and shipped in the app (2 September). A district device can export its buttons and settings to a file and restore them on a replacement device. The portal does not hold the backup; the file stays with the district, which is the privacy answer.</w:t>
      </w:r>
    </w:p>
    <w:p>
      <w:pPr>
        <w:pStyle w:val="Heading2"/>
        <w:spacing w:after="100" w:before="240"/>
      </w:pPr>
      <w:r>
        <w:rPr>
          <w:rFonts w:ascii="Calibri" w:cs="Calibri" w:eastAsia="Calibri" w:hAnsi="Calibri"/>
        </w:rPr>
        <w:t xml:space="preserve">Security for districts and clinics, the same for both</w:t>
      </w:r>
    </w:p>
    <w:p>
      <w:pPr>
        <w:pStyle w:val="ListParagraph"/>
        <w:numPr>
          <w:ilvl w:val="0"/>
          <w:numId w:val="2"/>
        </w:numPr>
        <w:spacing w:after="80"/>
      </w:pPr>
      <w:r>
        <w:rPr>
          <w:rFonts w:ascii="Calibri" w:cs="Calibri" w:eastAsia="Calibri" w:hAnsi="Calibri"/>
          <w:sz w:val="22"/>
          <w:szCs w:val="22"/>
        </w:rPr>
        <w:t xml:space="preserve">Portal sign-in by emailed link, no passwords to leak; sessions expire; every action logged with who and when.</w:t>
      </w:r>
    </w:p>
    <w:p>
      <w:pPr>
        <w:pStyle w:val="ListParagraph"/>
        <w:numPr>
          <w:ilvl w:val="0"/>
          <w:numId w:val="2"/>
        </w:numPr>
        <w:spacing w:after="80"/>
      </w:pPr>
      <w:r>
        <w:rPr>
          <w:rFonts w:ascii="Calibri" w:cs="Calibri" w:eastAsia="Calibri" w:hAnsi="Calibri"/>
          <w:sz w:val="22"/>
          <w:szCs w:val="22"/>
        </w:rPr>
        <w:t xml:space="preserve">Join codes expire and are single-use per device; a device can be removed from the portal, which frees its seat and locks that device.</w:t>
      </w:r>
    </w:p>
    <w:p>
      <w:pPr>
        <w:pStyle w:val="ListParagraph"/>
        <w:numPr>
          <w:ilvl w:val="0"/>
          <w:numId w:val="2"/>
        </w:numPr>
        <w:spacing w:after="80"/>
      </w:pPr>
      <w:r>
        <w:rPr>
          <w:rFonts w:ascii="Calibri" w:cs="Calibri" w:eastAsia="Calibri" w:hAnsi="Calibri"/>
          <w:sz w:val="22"/>
          <w:szCs w:val="22"/>
        </w:rPr>
        <w:t xml:space="preserve">No student data on our servers. The app’s data stays on the device; the server holds the organization, its seat count, its administrators, its devices by code, and its orders.</w:t>
      </w:r>
    </w:p>
    <w:p>
      <w:pPr>
        <w:pStyle w:val="ListParagraph"/>
        <w:numPr>
          <w:ilvl w:val="0"/>
          <w:numId w:val="2"/>
        </w:numPr>
        <w:spacing w:after="80"/>
      </w:pPr>
      <w:r>
        <w:rPr>
          <w:rFonts w:ascii="Calibri" w:cs="Calibri" w:eastAsia="Calibri" w:hAnsi="Calibri"/>
          <w:sz w:val="22"/>
          <w:szCs w:val="22"/>
        </w:rPr>
        <w:t xml:space="preserve">Purchase orders and invoices stored as documents in the portal; W-9 and insurance certificate downloadable from it, so a purchasing office gets everything from one page.</w:t>
      </w:r>
    </w:p>
    <w:p>
      <w:pPr>
        <w:pStyle w:val="Heading1"/>
        <w:spacing w:after="120" w:before="320"/>
      </w:pPr>
      <w:r>
        <w:rPr>
          <w:rFonts w:ascii="Calibri" w:cs="Calibri" w:eastAsia="Calibri" w:hAnsi="Calibri"/>
        </w:rPr>
        <w:t xml:space="preserve">6. The corporate section of the website, spelled out for Claude Design</w:t>
      </w:r>
    </w:p>
    <w:p>
      <w:pPr>
        <w:spacing w:after="120"/>
      </w:pPr>
      <w:r>
        <w:rPr>
          <w:rFonts w:ascii="Calibri" w:cs="Calibri" w:eastAsia="Calibri" w:hAnsi="Calibri"/>
          <w:sz w:val="22"/>
          <w:szCs w:val="22"/>
        </w:rPr>
        <w:t xml:space="preserve">A separate section at ezvoxa.com/schools, reached from a “Schools and Clinics” item in the main menu, with its own tone: fewer words, no consumer pricing, no subscription talk, no SOS. Pages and what each holds:</w:t>
      </w:r>
    </w:p>
    <w:p>
      <w:pPr>
        <w:pStyle w:val="Heading2"/>
        <w:spacing w:after="100" w:before="240"/>
      </w:pPr>
      <w:r>
        <w:rPr>
          <w:rFonts w:ascii="Calibri" w:cs="Calibri" w:eastAsia="Calibri" w:hAnsi="Calibri"/>
        </w:rPr>
        <w:t xml:space="preserve">Schools and Clinics (landing page)</w:t>
      </w:r>
    </w:p>
    <w:p>
      <w:pPr>
        <w:pStyle w:val="ListParagraph"/>
        <w:numPr>
          <w:ilvl w:val="0"/>
          <w:numId w:val="2"/>
        </w:numPr>
        <w:spacing w:after="80"/>
      </w:pPr>
      <w:r>
        <w:rPr>
          <w:rFonts w:ascii="Calibri" w:cs="Calibri" w:eastAsia="Calibri" w:hAnsi="Calibri"/>
          <w:sz w:val="22"/>
          <w:szCs w:val="22"/>
        </w:rPr>
        <w:t xml:space="preserve">Hero: the demo video with Frank’s voiceover, full width, one line under it: “Owned outright. No subscription. No student data.”</w:t>
      </w:r>
    </w:p>
    <w:p>
      <w:pPr>
        <w:pStyle w:val="ListParagraph"/>
        <w:numPr>
          <w:ilvl w:val="0"/>
          <w:numId w:val="2"/>
        </w:numPr>
        <w:spacing w:after="80"/>
      </w:pPr>
      <w:r>
        <w:rPr>
          <w:rFonts w:ascii="Calibri" w:cs="Calibri" w:eastAsia="Calibri" w:hAnsi="Calibri"/>
          <w:sz w:val="22"/>
          <w:szCs w:val="22"/>
        </w:rPr>
        <w:t xml:space="preserve">Three proof blocks with the sourced figures: the autism count tripled since the current apps launched; the apps are 14 to 17 years old; St. Lucie’s own numbers. Each with its source in small type.</w:t>
      </w:r>
    </w:p>
    <w:p>
      <w:pPr>
        <w:pStyle w:val="ListParagraph"/>
        <w:numPr>
          <w:ilvl w:val="0"/>
          <w:numId w:val="2"/>
        </w:numPr>
        <w:spacing w:after="80"/>
      </w:pPr>
      <w:r>
        <w:rPr>
          <w:rFonts w:ascii="Calibri" w:cs="Calibri" w:eastAsia="Calibri" w:hAnsi="Calibri"/>
          <w:sz w:val="22"/>
          <w:szCs w:val="22"/>
        </w:rPr>
        <w:t xml:space="preserve">Two buttons: Request a quote. Start a pilot.</w:t>
      </w:r>
    </w:p>
    <w:p>
      <w:pPr>
        <w:pStyle w:val="Heading2"/>
        <w:spacing w:after="100" w:before="240"/>
      </w:pPr>
      <w:r>
        <w:rPr>
          <w:rFonts w:ascii="Calibri" w:cs="Calibri" w:eastAsia="Calibri" w:hAnsi="Calibri"/>
        </w:rPr>
        <w:t xml:space="preserve">How it works</w:t>
      </w:r>
    </w:p>
    <w:p>
      <w:pPr>
        <w:pStyle w:val="ListParagraph"/>
        <w:numPr>
          <w:ilvl w:val="0"/>
          <w:numId w:val="2"/>
        </w:numPr>
        <w:spacing w:after="80"/>
      </w:pPr>
      <w:r>
        <w:rPr>
          <w:rFonts w:ascii="Calibri" w:cs="Calibri" w:eastAsia="Calibri" w:hAnsi="Calibri"/>
          <w:sz w:val="22"/>
          <w:szCs w:val="22"/>
        </w:rPr>
        <w:t xml:space="preserve">Three columns for the three install paths, in plain words: from the App Store or Google Play by your private link; from the web on any device; or on devices we ship. One paragraph on updates once or twice a year and on backup and restore.</w:t>
      </w:r>
    </w:p>
    <w:p>
      <w:pPr>
        <w:pStyle w:val="Heading2"/>
        <w:spacing w:after="100" w:before="240"/>
      </w:pPr>
      <w:r>
        <w:rPr>
          <w:rFonts w:ascii="Calibri" w:cs="Calibri" w:eastAsia="Calibri" w:hAnsi="Calibri"/>
        </w:rPr>
        <w:t xml:space="preserve">Pricing and purchasing</w:t>
      </w:r>
    </w:p>
    <w:p>
      <w:pPr>
        <w:pStyle w:val="ListParagraph"/>
        <w:numPr>
          <w:ilvl w:val="0"/>
          <w:numId w:val="2"/>
        </w:numPr>
        <w:spacing w:after="80"/>
      </w:pPr>
      <w:r>
        <w:rPr>
          <w:rFonts w:ascii="Calibri" w:cs="Calibri" w:eastAsia="Calibri" w:hAnsi="Calibri"/>
          <w:sz w:val="22"/>
          <w:szCs w:val="22"/>
        </w:rPr>
        <w:t xml:space="preserve">List price per seat, stated once. “Volume and district-wide pricing by quote.” Then the purchasing facts a director needs: purchase orders accepted, W-9 and insurance certificate on request, sole source letter provided, and one sentence on Florida Rule 6A-1.012 for Florida districts. No discount table anywhere.</w:t>
      </w:r>
    </w:p>
    <w:p>
      <w:pPr>
        <w:pStyle w:val="Heading2"/>
        <w:spacing w:after="100" w:before="240"/>
      </w:pPr>
      <w:r>
        <w:rPr>
          <w:rFonts w:ascii="Calibri" w:cs="Calibri" w:eastAsia="Calibri" w:hAnsi="Calibri"/>
        </w:rPr>
        <w:t xml:space="preserve">Security and privacy</w:t>
      </w:r>
    </w:p>
    <w:p>
      <w:pPr>
        <w:pStyle w:val="ListParagraph"/>
        <w:numPr>
          <w:ilvl w:val="0"/>
          <w:numId w:val="2"/>
        </w:numPr>
        <w:spacing w:after="80"/>
      </w:pPr>
      <w:r>
        <w:rPr>
          <w:rFonts w:ascii="Calibri" w:cs="Calibri" w:eastAsia="Calibri" w:hAnsi="Calibri"/>
          <w:sz w:val="22"/>
          <w:szCs w:val="22"/>
        </w:rPr>
        <w:t xml:space="preserve">The promises from section 5, as a short list. A link to the privacy policy. A line that the app is not a medical device and does not replace 911, which is already on the site.</w:t>
      </w:r>
    </w:p>
    <w:p>
      <w:pPr>
        <w:pStyle w:val="Heading2"/>
        <w:spacing w:after="100" w:before="240"/>
      </w:pPr>
      <w:r>
        <w:rPr>
          <w:rFonts w:ascii="Calibri" w:cs="Calibri" w:eastAsia="Calibri" w:hAnsi="Calibri"/>
        </w:rPr>
        <w:t xml:space="preserve">Referral program</w:t>
      </w:r>
    </w:p>
    <w:p>
      <w:pPr>
        <w:pStyle w:val="ListParagraph"/>
        <w:numPr>
          <w:ilvl w:val="0"/>
          <w:numId w:val="2"/>
        </w:numPr>
        <w:spacing w:after="80"/>
      </w:pPr>
      <w:r>
        <w:rPr>
          <w:rFonts w:ascii="Calibri" w:cs="Calibri" w:eastAsia="Calibri" w:hAnsi="Calibri"/>
          <w:sz w:val="22"/>
          <w:szCs w:val="22"/>
        </w:rPr>
        <w:t xml:space="preserve">One paragraph: a district that brings in another district earns a credit on its next order. Terms by quote.</w:t>
      </w:r>
    </w:p>
    <w:p>
      <w:pPr>
        <w:pStyle w:val="Heading2"/>
        <w:spacing w:after="100" w:before="240"/>
      </w:pPr>
      <w:r>
        <w:rPr>
          <w:rFonts w:ascii="Calibri" w:cs="Calibri" w:eastAsia="Calibri" w:hAnsi="Calibri"/>
        </w:rPr>
        <w:t xml:space="preserve">Request a quote (form)</w:t>
      </w:r>
    </w:p>
    <w:p>
      <w:pPr>
        <w:pStyle w:val="ListParagraph"/>
        <w:numPr>
          <w:ilvl w:val="0"/>
          <w:numId w:val="2"/>
        </w:numPr>
        <w:spacing w:after="80"/>
      </w:pPr>
      <w:r>
        <w:rPr>
          <w:rFonts w:ascii="Calibri" w:cs="Calibri" w:eastAsia="Calibri" w:hAnsi="Calibri"/>
          <w:sz w:val="22"/>
          <w:szCs w:val="22"/>
        </w:rPr>
        <w:t xml:space="preserve">Fields: organization name; type (public district, private school, clinic or rehab, other); state; contact name, title, email, phone; number of students or patients who cannot rely on speech (a range); devices in use (iPad, iPhone, Android, none yet); how you heard of us, with a referral field; anything else. The form writes to our portal and emails Frank. No prices on the form.</w:t>
      </w:r>
    </w:p>
    <w:p>
      <w:pPr>
        <w:pStyle w:val="Heading2"/>
        <w:spacing w:after="100" w:before="240"/>
      </w:pPr>
      <w:r>
        <w:rPr>
          <w:rFonts w:ascii="Calibri" w:cs="Calibri" w:eastAsia="Calibri" w:hAnsi="Calibri"/>
        </w:rPr>
        <w:t xml:space="preserve">Start a pilot (form)</w:t>
      </w:r>
    </w:p>
    <w:p>
      <w:pPr>
        <w:pStyle w:val="ListParagraph"/>
        <w:numPr>
          <w:ilvl w:val="0"/>
          <w:numId w:val="2"/>
        </w:numPr>
        <w:spacing w:after="80"/>
      </w:pPr>
      <w:r>
        <w:rPr>
          <w:rFonts w:ascii="Calibri" w:cs="Calibri" w:eastAsia="Calibri" w:hAnsi="Calibri"/>
          <w:sz w:val="22"/>
          <w:szCs w:val="22"/>
        </w:rPr>
        <w:t xml:space="preserve">Same fields plus the number of pilot seats and the classroom or program. A pilot is a quote at $0 with an end date.</w:t>
      </w:r>
    </w:p>
    <w:p>
      <w:pPr>
        <w:pStyle w:val="Heading2"/>
        <w:spacing w:after="100" w:before="240"/>
      </w:pPr>
      <w:r>
        <w:rPr>
          <w:rFonts w:ascii="Calibri" w:cs="Calibri" w:eastAsia="Calibri" w:hAnsi="Calibri"/>
        </w:rPr>
        <w:t xml:space="preserve">For Claude Design: what not to change</w:t>
      </w:r>
    </w:p>
    <w:p>
      <w:pPr>
        <w:pStyle w:val="ListParagraph"/>
        <w:numPr>
          <w:ilvl w:val="0"/>
          <w:numId w:val="2"/>
        </w:numPr>
        <w:spacing w:after="80"/>
      </w:pPr>
      <w:r>
        <w:rPr>
          <w:rFonts w:ascii="Calibri" w:cs="Calibri" w:eastAsia="Calibri" w:hAnsi="Calibri"/>
          <w:sz w:val="22"/>
          <w:szCs w:val="22"/>
        </w:rPr>
        <w:t xml:space="preserve">The brand, colors and type already on ezvoxa.com. Every figure above must keep its source line. Nothing of Evan appears in this section; the pilot is described as “a Florida district” unless Frank decides otherwise.</w:t>
      </w:r>
    </w:p>
    <w:p>
      <w:pPr>
        <w:pStyle w:val="Heading1"/>
        <w:spacing w:after="120" w:before="320"/>
      </w:pPr>
      <w:r>
        <w:rPr>
          <w:rFonts w:ascii="Calibri" w:cs="Calibri" w:eastAsia="Calibri" w:hAnsi="Calibri"/>
        </w:rPr>
        <w:t xml:space="preserve">7. Selling to people who have no Apple or Google account</w:t>
      </w:r>
    </w:p>
    <w:p>
      <w:pPr>
        <w:pStyle w:val="ListParagraph"/>
        <w:numPr>
          <w:ilvl w:val="0"/>
          <w:numId w:val="2"/>
        </w:numPr>
        <w:spacing w:after="80"/>
      </w:pPr>
      <w:r>
        <w:rPr>
          <w:rFonts w:ascii="Calibri" w:cs="Calibri" w:eastAsia="Calibri" w:hAnsi="Calibri"/>
          <w:sz w:val="22"/>
          <w:szCs w:val="22"/>
        </w:rPr>
        <w:t xml:space="preserve">The web app is the answer, and it already exists. A family buys on ezvoxa.com, gets a code by email, installs from app.ezvoxa.com and enters the code. Apple’s 3.1.3(b) then lets the same family use the store app with what they bought, as long as the same item is also sold as an in-app purchase, which it is.</w:t>
      </w:r>
    </w:p>
    <w:p>
      <w:pPr>
        <w:pStyle w:val="ListParagraph"/>
        <w:numPr>
          <w:ilvl w:val="0"/>
          <w:numId w:val="2"/>
        </w:numPr>
        <w:spacing w:after="80"/>
      </w:pPr>
      <w:r>
        <w:rPr>
          <w:rFonts w:ascii="Calibri" w:cs="Calibri" w:eastAsia="Calibri" w:hAnsi="Calibri"/>
          <w:sz w:val="22"/>
          <w:szCs w:val="22"/>
        </w:rPr>
        <w:t xml:space="preserve">What is not settled: the payment processor. Stripe’s, PayPal’s and Square’s pricing pages are blocked from this environment, so their fees are unverified. If Frank adds stripe.com and paypal.com to the allow list, the fees go into the finance widget as a cost line next to the store’s 15%.</w:t>
      </w:r>
    </w:p>
    <w:p>
      <w:pPr>
        <w:pStyle w:val="ListParagraph"/>
        <w:numPr>
          <w:ilvl w:val="0"/>
          <w:numId w:val="2"/>
        </w:numPr>
        <w:spacing w:after="80"/>
      </w:pPr>
      <w:r>
        <w:rPr>
          <w:rFonts w:ascii="Calibri" w:cs="Calibri" w:eastAsia="Calibri" w:hAnsi="Calibri"/>
          <w:sz w:val="22"/>
          <w:szCs w:val="22"/>
        </w:rPr>
        <w:t xml:space="preserve">Consumer sales stay simple: the same $99.99 and $9.99 as the stores. No negotiation on the consumer side; the flexibility is for organizations.</w:t>
      </w:r>
    </w:p>
    <w:p>
      <w:pPr>
        <w:pStyle w:val="Heading1"/>
        <w:spacing w:after="120" w:before="320"/>
      </w:pPr>
      <w:r>
        <w:rPr>
          <w:rFonts w:ascii="Calibri" w:cs="Calibri" w:eastAsia="Calibri" w:hAnsi="Calibri"/>
        </w:rPr>
        <w:t xml:space="preserve">8. What I need from Frank before building</w:t>
      </w:r>
    </w:p>
    <w:p>
      <w:pPr>
        <w:pStyle w:val="ListParagraph"/>
        <w:numPr>
          <w:ilvl w:val="0"/>
          <w:numId w:val="3"/>
        </w:numPr>
        <w:spacing w:after="100"/>
      </w:pPr>
      <w:r>
        <w:rPr>
          <w:rFonts w:ascii="Calibri" w:cs="Calibri" w:eastAsia="Calibri" w:hAnsi="Calibri"/>
          <w:sz w:val="22"/>
          <w:szCs w:val="22"/>
        </w:rPr>
        <w:t xml:space="preserve">A go on the license design: organization account plus join codes, no student data. This is the piece everything else depends on.</w:t>
      </w:r>
    </w:p>
    <w:p>
      <w:pPr>
        <w:pStyle w:val="ListParagraph"/>
        <w:numPr>
          <w:ilvl w:val="0"/>
          <w:numId w:val="3"/>
        </w:numPr>
        <w:spacing w:after="100"/>
      </w:pPr>
      <w:r>
        <w:rPr>
          <w:rFonts w:ascii="Calibri" w:cs="Calibri" w:eastAsia="Calibri" w:hAnsi="Calibri"/>
          <w:sz w:val="22"/>
          <w:szCs w:val="22"/>
        </w:rPr>
        <w:t xml:space="preserve">The order of install paths. My recommendation is A first, B when a district asks, C only priced on request.</w:t>
      </w:r>
    </w:p>
    <w:p>
      <w:pPr>
        <w:pStyle w:val="ListParagraph"/>
        <w:numPr>
          <w:ilvl w:val="0"/>
          <w:numId w:val="3"/>
        </w:numPr>
        <w:spacing w:after="100"/>
      </w:pPr>
      <w:r>
        <w:rPr>
          <w:rFonts w:ascii="Calibri" w:cs="Calibri" w:eastAsia="Calibri" w:hAnsi="Calibri"/>
          <w:sz w:val="22"/>
          <w:szCs w:val="22"/>
        </w:rPr>
        <w:t xml:space="preserve">The quote reason codes and whether the referral credit is money off the next order or free seats. Both work in the portal; one has to be first.</w:t>
      </w:r>
    </w:p>
    <w:p>
      <w:pPr>
        <w:pStyle w:val="ListParagraph"/>
        <w:numPr>
          <w:ilvl w:val="0"/>
          <w:numId w:val="3"/>
        </w:numPr>
        <w:spacing w:after="100"/>
      </w:pPr>
      <w:r>
        <w:rPr>
          <w:rFonts w:ascii="Calibri" w:cs="Calibri" w:eastAsia="Calibri" w:hAnsi="Calibri"/>
          <w:sz w:val="22"/>
          <w:szCs w:val="22"/>
        </w:rPr>
        <w:t xml:space="preserve">stripe.com and paypal.com on the allow list, so the consumer web checkout can be priced from their pages.</w:t>
      </w:r>
    </w:p>
    <w:p>
      <w:pPr>
        <w:pStyle w:val="ListParagraph"/>
        <w:numPr>
          <w:ilvl w:val="0"/>
          <w:numId w:val="3"/>
        </w:numPr>
        <w:spacing w:after="100"/>
      </w:pPr>
      <w:r>
        <w:rPr>
          <w:rFonts w:ascii="Calibri" w:cs="Calibri" w:eastAsia="Calibri" w:hAnsi="Calibri"/>
          <w:sz w:val="22"/>
          <w:szCs w:val="22"/>
        </w:rPr>
        <w:t xml:space="preserve">The Pro app’s own name and icon for the store listing, since it is its own listing. Nothing of Evan in either.</w:t>
      </w:r>
    </w:p>
    <w:p>
      <w:pPr>
        <w:pStyle w:val="ListParagraph"/>
        <w:numPr>
          <w:ilvl w:val="0"/>
          <w:numId w:val="3"/>
        </w:numPr>
        <w:spacing w:after="100"/>
      </w:pPr>
      <w:r>
        <w:rPr>
          <w:rFonts w:ascii="Calibri" w:cs="Calibri" w:eastAsia="Calibri" w:hAnsi="Calibri"/>
          <w:sz w:val="22"/>
          <w:szCs w:val="22"/>
        </w:rPr>
        <w:t xml:space="preserve">Whether the pilot at Evan’s school is named on the website or described as a Florida district.</w:t>
      </w:r>
    </w:p>
    <w:p>
      <w:pPr>
        <w:pStyle w:val="Heading1"/>
        <w:spacing w:after="120" w:before="320"/>
      </w:pPr>
      <w:r>
        <w:rPr>
          <w:rFonts w:ascii="Calibri" w:cs="Calibri" w:eastAsia="Calibri" w:hAnsi="Calibri"/>
        </w:rPr>
        <w:t xml:space="preserve">9. Build order, once approved</w:t>
      </w:r>
    </w:p>
    <w:p>
      <w:pPr>
        <w:pStyle w:val="ListParagraph"/>
        <w:numPr>
          <w:ilvl w:val="0"/>
          <w:numId w:val="3"/>
        </w:numPr>
        <w:spacing w:after="100"/>
      </w:pPr>
      <w:r>
        <w:rPr>
          <w:rFonts w:ascii="Calibri" w:cs="Calibri" w:eastAsia="Calibri" w:hAnsi="Calibri"/>
          <w:sz w:val="22"/>
          <w:szCs w:val="22"/>
        </w:rPr>
        <w:t xml:space="preserve">Portal, phase one: organization accounts, join codes, seat counting, device list, sign-in by emailed link. Built on the Family Code server that exists, on Vercel and Upstash, no new services. This alone lets a pilot run on the web app.</w:t>
      </w:r>
    </w:p>
    <w:p>
      <w:pPr>
        <w:pStyle w:val="ListParagraph"/>
        <w:numPr>
          <w:ilvl w:val="0"/>
          <w:numId w:val="3"/>
        </w:numPr>
        <w:spacing w:after="100"/>
      </w:pPr>
      <w:r>
        <w:rPr>
          <w:rFonts w:ascii="Calibri" w:cs="Calibri" w:eastAsia="Calibri" w:hAnsi="Calibri"/>
          <w:sz w:val="22"/>
          <w:szCs w:val="22"/>
        </w:rPr>
        <w:t xml:space="preserve">EZvoxa Pro as its own build from the template: no Tether, no texting, no voice messages, join code instead of Family Code, organization name in the header. Submitted to Apple as unlisted and to Google Play.</w:t>
      </w:r>
    </w:p>
    <w:p>
      <w:pPr>
        <w:pStyle w:val="ListParagraph"/>
        <w:numPr>
          <w:ilvl w:val="0"/>
          <w:numId w:val="3"/>
        </w:numPr>
        <w:spacing w:after="100"/>
      </w:pPr>
      <w:r>
        <w:rPr>
          <w:rFonts w:ascii="Calibri" w:cs="Calibri" w:eastAsia="Calibri" w:hAnsi="Calibri"/>
          <w:sz w:val="22"/>
          <w:szCs w:val="22"/>
        </w:rPr>
        <w:t xml:space="preserve">Quotes, purchase orders and invoices in the portal, with reason codes and referral tracking; the sales page on our domain extended to show organization orders beside store sales.</w:t>
      </w:r>
    </w:p>
    <w:p>
      <w:pPr>
        <w:pStyle w:val="ListParagraph"/>
        <w:numPr>
          <w:ilvl w:val="0"/>
          <w:numId w:val="3"/>
        </w:numPr>
        <w:spacing w:after="100"/>
      </w:pPr>
      <w:r>
        <w:rPr>
          <w:rFonts w:ascii="Calibri" w:cs="Calibri" w:eastAsia="Calibri" w:hAnsi="Calibri"/>
          <w:sz w:val="22"/>
          <w:szCs w:val="22"/>
        </w:rPr>
        <w:t xml:space="preserve">The corporate section of the website, built by Claude Design from section 6, with the demo video and the two forms writing to the portal.</w:t>
      </w:r>
    </w:p>
    <w:p>
      <w:pPr>
        <w:pStyle w:val="ListParagraph"/>
        <w:numPr>
          <w:ilvl w:val="0"/>
          <w:numId w:val="3"/>
        </w:numPr>
        <w:spacing w:after="100"/>
      </w:pPr>
      <w:r>
        <w:rPr>
          <w:rFonts w:ascii="Calibri" w:cs="Calibri" w:eastAsia="Calibri" w:hAnsi="Calibri"/>
          <w:sz w:val="22"/>
          <w:szCs w:val="22"/>
        </w:rPr>
        <w:t xml:space="preserve">Consumer web checkout, once the processor is chosen and its fees are read.</w:t>
      </w:r>
    </w:p>
    <w:p>
      <w:pPr>
        <w:pStyle w:val="Heading1"/>
        <w:spacing w:after="120" w:before="320"/>
      </w:pPr>
      <w:r>
        <w:rPr>
          <w:rFonts w:ascii="Calibri" w:cs="Calibri" w:eastAsia="Calibri" w:hAnsi="Calibri"/>
        </w:rPr>
        <w:t xml:space="preserve">10. Unverified, and where to verify</w:t>
      </w:r>
    </w:p>
    <w:p>
      <w:pPr>
        <w:pStyle w:val="ListParagraph"/>
        <w:numPr>
          <w:ilvl w:val="0"/>
          <w:numId w:val="2"/>
        </w:numPr>
        <w:spacing w:after="80"/>
      </w:pPr>
      <w:r>
        <w:rPr>
          <w:rFonts w:ascii="Calibri" w:cs="Calibri" w:eastAsia="Calibri" w:hAnsi="Calibri"/>
          <w:sz w:val="22"/>
          <w:szCs w:val="22"/>
        </w:rPr>
        <w:t xml:space="preserve">Payment processor fees: stripe.com/pricing, paypal.com business pricing. Blocked from here.</w:t>
      </w:r>
    </w:p>
    <w:p>
      <w:pPr>
        <w:pStyle w:val="ListParagraph"/>
        <w:numPr>
          <w:ilvl w:val="0"/>
          <w:numId w:val="2"/>
        </w:numPr>
        <w:spacing w:after="80"/>
      </w:pPr>
      <w:r>
        <w:rPr>
          <w:rFonts w:ascii="Calibri" w:cs="Calibri" w:eastAsia="Calibri" w:hAnsi="Calibri"/>
          <w:sz w:val="22"/>
          <w:szCs w:val="22"/>
        </w:rPr>
        <w:t xml:space="preserve">Refurbished iPhone Pro Max prices, supervision and shipping costs: not researched; Apple’s device supervision pages are on support.apple.com, which is open.</w:t>
      </w:r>
    </w:p>
    <w:p>
      <w:pPr>
        <w:pStyle w:val="ListParagraph"/>
        <w:numPr>
          <w:ilvl w:val="0"/>
          <w:numId w:val="2"/>
        </w:numPr>
        <w:spacing w:after="80"/>
      </w:pPr>
      <w:r>
        <w:rPr>
          <w:rFonts w:ascii="Calibri" w:cs="Calibri" w:eastAsia="Calibri" w:hAnsi="Calibri"/>
          <w:sz w:val="22"/>
          <w:szCs w:val="22"/>
        </w:rPr>
        <w:t xml:space="preserve">Google Play private app details beyond what the help page says: the district needs its own device management; specifics per district.</w:t>
      </w:r>
    </w:p>
    <w:p>
      <w:pPr>
        <w:pStyle w:val="ListParagraph"/>
        <w:numPr>
          <w:ilvl w:val="0"/>
          <w:numId w:val="2"/>
        </w:numPr>
        <w:spacing w:after="80"/>
      </w:pPr>
      <w:r>
        <w:rPr>
          <w:rFonts w:ascii="Calibri" w:cs="Calibri" w:eastAsia="Calibri" w:hAnsi="Calibri"/>
          <w:sz w:val="22"/>
          <w:szCs w:val="22"/>
        </w:rPr>
        <w:t xml:space="preserve">Whether Apple grants unlisted distribution to EZvoxa Pro: Apple decides on request after review; its page lists partner and student audiences as good candidates, and a school seat sold to a district fits, but it is Apple’s call.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2026-09-09T01:25:12.357Z</dcterms:created>
  <dcterms:modified xsi:type="dcterms:W3CDTF">2026-09-09T01:25:12.358Z</dcterms:modified>
</cp:coreProperties>
</file>

<file path=docProps/custom.xml><?xml version="1.0" encoding="utf-8"?>
<Properties xmlns="http://schemas.openxmlformats.org/officeDocument/2006/custom-properties" xmlns:vt="http://schemas.openxmlformats.org/officeDocument/2006/docPropsVTypes"/>
</file>