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Handoff: the younger-children product (ages 5 to 9)</w:t>
      </w:r>
    </w:p>
    <w:p>
      <w:pPr>
        <w:spacing w:after="120"/>
      </w:pPr>
      <w:r>
        <w:rPr>
          <w:rFonts w:ascii="Calibri" w:cs="Calibri" w:eastAsia="Calibri" w:hAnsi="Calibri"/>
          <w:sz w:val="22"/>
          <w:szCs w:val="22"/>
        </w:rPr>
        <w:t xml:space="preserve">Written 10 September 2026 for a new thread dedicated to this project. Read this, then CLAUDE.md, DECISIONS.md and LEDGER.md as usual. Frank's two unbreakable rules apply here as everywhere: no guessing, no assuming; no build without his approval.</w:t>
      </w:r>
    </w:p>
    <w:p>
      <w:pPr>
        <w:pStyle w:val="Heading1"/>
        <w:spacing w:after="120" w:before="320"/>
      </w:pPr>
      <w:r>
        <w:rPr>
          <w:rFonts w:ascii="Calibri" w:cs="Calibri" w:eastAsia="Calibri" w:hAnsi="Calibri"/>
        </w:rPr>
        <w:t xml:space="preserve">What this is</w:t>
      </w:r>
    </w:p>
    <w:p>
      <w:pPr>
        <w:spacing w:after="120"/>
      </w:pPr>
      <w:r>
        <w:rPr>
          <w:rFonts w:ascii="Calibri" w:cs="Calibri" w:eastAsia="Calibri" w:hAnsi="Calibri"/>
          <w:sz w:val="22"/>
          <w:szCs w:val="22"/>
        </w:rPr>
        <w:t xml:space="preserve">A second product from EZ Voice LLC, for nonverbal and minimally verbal children aged 5 to 9, given to them at school or through speech-language pathologists. Not a version of EZvoxa. A ground-up product built on the EZvoxa engine. No name yet. No build has started. Nothing is approved except the directions below.</w:t>
      </w:r>
    </w:p>
    <w:p>
      <w:pPr>
        <w:pStyle w:val="Heading1"/>
        <w:spacing w:after="120" w:before="320"/>
      </w:pPr>
      <w:r>
        <w:rPr>
          <w:rFonts w:ascii="Calibri" w:cs="Calibri" w:eastAsia="Calibri" w:hAnsi="Calibri"/>
        </w:rPr>
        <w:t xml:space="preserve">Frank's directions (his words, 10 Sep 2026)</w:t>
      </w:r>
    </w:p>
    <w:p>
      <w:pPr>
        <w:pStyle w:val="ListParagraph"/>
        <w:numPr>
          <w:ilvl w:val="0"/>
          <w:numId w:val="2"/>
        </w:numPr>
        <w:spacing w:after="80"/>
      </w:pPr>
      <w:r>
        <w:rPr>
          <w:rFonts w:ascii="Calibri" w:cs="Calibri" w:eastAsia="Calibri" w:hAnsi="Calibri"/>
          <w:sz w:val="22"/>
          <w:szCs w:val="22"/>
        </w:rPr>
        <w:t xml:space="preserve">Tablet first: "this one needs to be designed with a tablet in mind, not a phone."</w:t>
      </w:r>
    </w:p>
    <w:p>
      <w:pPr>
        <w:pStyle w:val="ListParagraph"/>
        <w:numPr>
          <w:ilvl w:val="0"/>
          <w:numId w:val="2"/>
        </w:numPr>
        <w:spacing w:after="80"/>
      </w:pPr>
      <w:r>
        <w:rPr>
          <w:rFonts w:ascii="Calibri" w:cs="Calibri" w:eastAsia="Calibri" w:hAnsi="Calibri"/>
          <w:sz w:val="22"/>
          <w:szCs w:val="22"/>
        </w:rPr>
        <w:t xml:space="preserve">"Customization is key. Whether it is the teacher or the family, the freedom to add, move, change buttons is critical to a child's development."</w:t>
      </w:r>
    </w:p>
    <w:p>
      <w:pPr>
        <w:pStyle w:val="ListParagraph"/>
        <w:numPr>
          <w:ilvl w:val="0"/>
          <w:numId w:val="2"/>
        </w:numPr>
        <w:spacing w:after="80"/>
      </w:pPr>
      <w:r>
        <w:rPr>
          <w:rFonts w:ascii="Calibri" w:cs="Calibri" w:eastAsia="Calibri" w:hAnsi="Calibri"/>
          <w:sz w:val="22"/>
          <w:szCs w:val="22"/>
        </w:rPr>
        <w:t xml:space="preserve">"Even building sentences has to be quicker. It cannot be in and out of a dozen screens. There should be a way to get from the noun you just picked to the verb through AI or predictive text. Don't give the child the next word, but instead of making them start over on the home screen, let the word they just picked bring a link to the next screen where the next word they want likely lives."</w:t>
      </w:r>
    </w:p>
    <w:p>
      <w:pPr>
        <w:pStyle w:val="ListParagraph"/>
        <w:numPr>
          <w:ilvl w:val="0"/>
          <w:numId w:val="2"/>
        </w:numPr>
        <w:spacing w:after="80"/>
      </w:pPr>
      <w:r>
        <w:rPr>
          <w:rFonts w:ascii="Calibri" w:cs="Calibri" w:eastAsia="Calibri" w:hAnsi="Calibri"/>
          <w:sz w:val="22"/>
          <w:szCs w:val="22"/>
        </w:rPr>
        <w:t xml:space="preserve">"The boards MUST sync if the student is not taking the same tablet to school and home, which would be ideal."</w:t>
      </w:r>
    </w:p>
    <w:p>
      <w:pPr>
        <w:pStyle w:val="ListParagraph"/>
        <w:numPr>
          <w:ilvl w:val="0"/>
          <w:numId w:val="2"/>
        </w:numPr>
        <w:spacing w:after="80"/>
      </w:pPr>
      <w:r>
        <w:rPr>
          <w:rFonts w:ascii="Calibri" w:cs="Calibri" w:eastAsia="Calibri" w:hAnsi="Calibri"/>
          <w:sz w:val="22"/>
          <w:szCs w:val="22"/>
        </w:rPr>
        <w:t xml:space="preserve">"Quicker sentences is the key to the entire thing. Nobody else does it which means we can do it best."</w:t>
      </w:r>
    </w:p>
    <w:p>
      <w:pPr>
        <w:pStyle w:val="ListParagraph"/>
        <w:numPr>
          <w:ilvl w:val="0"/>
          <w:numId w:val="2"/>
        </w:numPr>
        <w:spacing w:after="80"/>
      </w:pPr>
      <w:r>
        <w:rPr>
          <w:rFonts w:ascii="Calibri" w:cs="Calibri" w:eastAsia="Calibri" w:hAnsi="Calibri"/>
          <w:sz w:val="22"/>
          <w:szCs w:val="22"/>
        </w:rPr>
        <w:t xml:space="preserve">He asked whether to combine sign language and a talking device (question, not a ruling).</w:t>
      </w:r>
    </w:p>
    <w:p>
      <w:pPr>
        <w:pStyle w:val="ListParagraph"/>
        <w:numPr>
          <w:ilvl w:val="0"/>
          <w:numId w:val="2"/>
        </w:numPr>
        <w:spacing w:after="80"/>
      </w:pPr>
      <w:r>
        <w:rPr>
          <w:rFonts w:ascii="Calibri" w:cs="Calibri" w:eastAsia="Calibri" w:hAnsi="Calibri"/>
          <w:sz w:val="22"/>
          <w:szCs w:val="22"/>
        </w:rPr>
        <w:t xml:space="preserve">Earlier the same night: he wants the ILP (individual learning program) for regular curriculum and IEP curriculum; and "MEET THESE KIDS WHERE THEY ARE" (9 Sep).</w:t>
      </w:r>
    </w:p>
    <w:p>
      <w:pPr>
        <w:pStyle w:val="Heading1"/>
        <w:spacing w:after="120" w:before="320"/>
      </w:pPr>
      <w:r>
        <w:rPr>
          <w:rFonts w:ascii="Calibri" w:cs="Calibri" w:eastAsia="Calibri" w:hAnsi="Calibri"/>
        </w:rPr>
        <w:t xml:space="preserve">My recommendations (mine, offered and not objected to; not approved)</w:t>
      </w:r>
    </w:p>
    <w:p>
      <w:pPr>
        <w:pStyle w:val="ListParagraph"/>
        <w:numPr>
          <w:ilvl w:val="0"/>
          <w:numId w:val="3"/>
        </w:numPr>
        <w:spacing w:after="80"/>
      </w:pPr>
      <w:r>
        <w:rPr>
          <w:rFonts w:ascii="Calibri" w:cs="Calibri" w:eastAsia="Calibri" w:hAnsi="Calibri"/>
          <w:sz w:val="22"/>
          <w:szCs w:val="22"/>
        </w:rPr>
        <w:t xml:space="preserve">Phrases stay as the daily layer (what works for Evan and what the incumbents lack). A picture-first sentence builder that the adult can model on is the core for this age, because a five-year-old is still acquiring language and phrase buttons alone do not build it.</w:t>
      </w:r>
    </w:p>
    <w:p>
      <w:pPr>
        <w:pStyle w:val="ListParagraph"/>
        <w:numPr>
          <w:ilvl w:val="0"/>
          <w:numId w:val="3"/>
        </w:numPr>
        <w:spacing w:after="80"/>
      </w:pPr>
      <w:r>
        <w:rPr>
          <w:rFonts w:ascii="Calibri" w:cs="Calibri" w:eastAsia="Calibri" w:hAnsi="Calibri"/>
          <w:sz w:val="22"/>
          <w:szCs w:val="22"/>
        </w:rPr>
        <w:t xml:space="preserve">Software on district iPads before any dedicated device. A dedicated device puts the product in the Medicaid DME pipeline (prescription, prior authorization, one per five years). Software is bought by the district under IDEA; the school SLP is the influencer.</w:t>
      </w:r>
    </w:p>
    <w:p>
      <w:pPr>
        <w:pStyle w:val="ListParagraph"/>
        <w:numPr>
          <w:ilvl w:val="0"/>
          <w:numId w:val="3"/>
        </w:numPr>
        <w:spacing w:after="80"/>
      </w:pPr>
      <w:r>
        <w:rPr>
          <w:rFonts w:ascii="Calibri" w:cs="Calibri" w:eastAsia="Calibri" w:hAnsi="Calibri"/>
          <w:sz w:val="22"/>
          <w:szCs w:val="22"/>
        </w:rPr>
        <w:t xml:space="preserve">The look of the visual cues comes from the children: the child's own photos first (the 2019 state-of-the-science review's one firm finding for young children is personalized photos of familiar people in real activities; a 2015 Penn State study found child-derived symbols beat PCS with 40 toddlers; child recognition of PCS measured 3 to 12 percent in 2002 and 2005). For words with no photo, Frank's neon art tested against two other styles in the discovery classroom; the children's taps choose. Do not license PCS or SymbolStix.</w:t>
      </w:r>
    </w:p>
    <w:p>
      <w:pPr>
        <w:pStyle w:val="ListParagraph"/>
        <w:numPr>
          <w:ilvl w:val="0"/>
          <w:numId w:val="3"/>
        </w:numPr>
        <w:spacing w:after="80"/>
      </w:pPr>
      <w:r>
        <w:rPr>
          <w:rFonts w:ascii="Calibri" w:cs="Calibri" w:eastAsia="Calibri" w:hAnsi="Calibri"/>
          <w:sz w:val="22"/>
          <w:szCs w:val="22"/>
        </w:rPr>
        <w:t xml:space="preserve">Two layout rules with evidence: cluster symbols by their own colour; keep backgrounds plain; keep each picture in the same place forever (Thistle 2018, 24 preschoolers, consistent location faster by session five).</w:t>
      </w:r>
    </w:p>
    <w:p>
      <w:pPr>
        <w:pStyle w:val="ListParagraph"/>
        <w:numPr>
          <w:ilvl w:val="0"/>
          <w:numId w:val="3"/>
        </w:numPr>
        <w:spacing w:after="80"/>
      </w:pPr>
      <w:r>
        <w:rPr>
          <w:rFonts w:ascii="Calibri" w:cs="Calibri" w:eastAsia="Calibri" w:hAnsi="Calibri"/>
          <w:sz w:val="22"/>
          <w:szCs w:val="22"/>
        </w:rPr>
        <w:t xml:space="preserve">Starting hypothesis for a 10.9-inch iPad in landscape: six to eight pictures per screen, about 200px each, a scene for home and a scene for school rather than a grid of everything, a sentence strip across the top big enough for an adult to model on from across the table. Child studies never went past 16 cells and used typically developing preschoolers; anything denser is a guess.</w:t>
      </w:r>
    </w:p>
    <w:p>
      <w:pPr>
        <w:pStyle w:val="ListParagraph"/>
        <w:numPr>
          <w:ilvl w:val="0"/>
          <w:numId w:val="3"/>
        </w:numPr>
        <w:spacing w:after="80"/>
      </w:pPr>
      <w:r>
        <w:rPr>
          <w:rFonts w:ascii="Calibri" w:cs="Calibri" w:eastAsia="Calibri" w:hAnsi="Calibri"/>
          <w:sz w:val="22"/>
          <w:szCs w:val="22"/>
        </w:rPr>
        <w:t xml:space="preserve">Sign language: not two systems. One button that shows the picture, speaks the word, and plays a two-second clip of the sign, so teacher, parent and tablet give the same three cues. Untested by anyone. Evidence on sign alone: Lorah 2015 review (PMID 25413144, abstract): tablets were acquired faster than sign or picture exchange and most children preferred the device.</w:t>
      </w:r>
    </w:p>
    <w:p>
      <w:pPr>
        <w:pStyle w:val="ListParagraph"/>
        <w:numPr>
          <w:ilvl w:val="0"/>
          <w:numId w:val="3"/>
        </w:numPr>
        <w:spacing w:after="80"/>
      </w:pPr>
      <w:r>
        <w:rPr>
          <w:rFonts w:ascii="Calibri" w:cs="Calibri" w:eastAsia="Calibri" w:hAnsi="Calibri"/>
          <w:sz w:val="22"/>
          <w:szCs w:val="22"/>
        </w:rPr>
        <w:t xml:space="preserve">Quicker sentences, the design: the word just picked opens the screen where the next word probably is. Two tables: what usually follows a word in children's speech (seeded once, AI may seed it), and what this child actually said next (lives on the tablet, never leaves it). The child still picks every word. Measure taps per sentence from day one.</w:t>
      </w:r>
    </w:p>
    <w:p>
      <w:pPr>
        <w:pStyle w:val="ListParagraph"/>
        <w:numPr>
          <w:ilvl w:val="0"/>
          <w:numId w:val="3"/>
        </w:numPr>
        <w:spacing w:after="80"/>
      </w:pPr>
      <w:r>
        <w:rPr>
          <w:rFonts w:ascii="Calibri" w:cs="Calibri" w:eastAsia="Calibri" w:hAnsi="Calibri"/>
          <w:sz w:val="22"/>
          <w:szCs w:val="22"/>
        </w:rPr>
        <w:t xml:space="preserve">Sync, the design: the board belongs to the family's code (Family Code machinery that exists) and the classroom tablet joins it, so the school edition's promise of no student data on the district's account holds while home and school edit the same board. Adding a button from a photo must take a teacher under a minute. Frank has not ruled on this structure; he has ruled that sync is mandatory.</w:t>
      </w:r>
    </w:p>
    <w:p>
      <w:pPr>
        <w:pStyle w:val="ListParagraph"/>
        <w:numPr>
          <w:ilvl w:val="0"/>
          <w:numId w:val="3"/>
        </w:numPr>
        <w:spacing w:after="80"/>
      </w:pPr>
      <w:r>
        <w:rPr>
          <w:rFonts w:ascii="Calibri" w:cs="Calibri" w:eastAsia="Calibri" w:hAnsi="Calibri"/>
          <w:sz w:val="22"/>
          <w:szCs w:val="22"/>
        </w:rPr>
        <w:t xml:space="preserve">Plan, in order: (1) land a district on EZvoxa Pro; (2) with that district, count how many issued devices are in daily use at one year and three years, by grade, and why the rest are not (no such count exists in the literature); (3) a year of watching three to five children aged 5 to 8 in one classroom with one SLP partner, parents consenting, the engine as a sketchpad; (4) design the product from what they showed, build it on the EZvoxa engine with new content and a real parent side. The ILP curriculum sits on step 3, not before it.</w:t>
      </w:r>
    </w:p>
    <w:p>
      <w:pPr>
        <w:pStyle w:val="Heading1"/>
        <w:spacing w:after="120" w:before="320"/>
      </w:pPr>
      <w:r>
        <w:rPr>
          <w:rFonts w:ascii="Calibri" w:cs="Calibri" w:eastAsia="Calibri" w:hAnsi="Calibri"/>
        </w:rPr>
        <w:t xml:space="preserve">What is verified (sources in research/aac-elementary-2026-09-10/)</w:t>
      </w:r>
    </w:p>
    <w:p>
      <w:pPr>
        <w:spacing w:after="120"/>
      </w:pPr>
      <w:r>
        <w:rPr>
          <w:rFonts w:ascii="Calibri" w:cs="Calibri" w:eastAsia="Calibri" w:hAnsi="Calibri"/>
          <w:sz w:val="22"/>
          <w:szCs w:val="22"/>
        </w:rPr>
        <w:t xml:space="preserve">The deep dive of 10 Sep 2026, "EZvoxa Elementary AAC Deep Dive.docx", with four working files (products, design research, outcomes, funding), one URL per fact. Headlines: the incumbent apps date from 2009 to 2012 and their 2026 updates are voices, AI helpers and word lists; the design basis is 1982 to 2003 and the makers cite no studies; the only tests of the layouts on children used typically developing preschoolers; no study sets symbol size, count or navigation depth for children; the one strong device trial (Kasari 2014, 61 children) showed a moderate effect that faded; Cochrane rated the randomized evidence very low; nobody measures abandonment of school-issued devices; Medicare Florida allowable for a device is $9,645.69, Florida Medicaid $6,240.51, tablets excluded, and the district buys software under IDEA.</w:t>
      </w:r>
    </w:p>
    <w:p>
      <w:pPr>
        <w:pStyle w:val="Heading1"/>
        <w:spacing w:after="120" w:before="320"/>
      </w:pPr>
      <w:r>
        <w:rPr>
          <w:rFonts w:ascii="Calibri" w:cs="Calibri" w:eastAsia="Calibri" w:hAnsi="Calibri"/>
        </w:rPr>
        <w:t xml:space="preserve">What is NOT verified</w:t>
      </w:r>
    </w:p>
    <w:p>
      <w:pPr>
        <w:pStyle w:val="ListParagraph"/>
        <w:numPr>
          <w:ilvl w:val="0"/>
          <w:numId w:val="3"/>
        </w:numPr>
        <w:spacing w:after="80"/>
      </w:pPr>
      <w:r>
        <w:rPr>
          <w:rFonts w:ascii="Calibri" w:cs="Calibri" w:eastAsia="Calibri" w:hAnsi="Calibri"/>
          <w:sz w:val="22"/>
          <w:szCs w:val="22"/>
        </w:rPr>
        <w:t xml:space="preserve">"Nobody else does it" (the picked word linking to the next likely screen). Not checked. The makers' pages say only "predictive features" (WordPower) and "grammar support" (Proloquo2Go); Proloquo advertises "Related Words". An attempt to read the App Store descriptions for prediction features failed to parse and was not repeated. Check the incumbents' actual behaviour (Proloquo Related Words, TD Snap, WordPower prediction, Grid Smart Grammar, Avaz) before claiming uniqueness anywhere.</w:t>
      </w:r>
    </w:p>
    <w:p>
      <w:pPr>
        <w:pStyle w:val="ListParagraph"/>
        <w:numPr>
          <w:ilvl w:val="0"/>
          <w:numId w:val="3"/>
        </w:numPr>
        <w:spacing w:after="80"/>
      </w:pPr>
      <w:r>
        <w:rPr>
          <w:rFonts w:ascii="Calibri" w:cs="Calibri" w:eastAsia="Calibri" w:hAnsi="Calibri"/>
          <w:sz w:val="22"/>
          <w:szCs w:val="22"/>
        </w:rPr>
        <w:t xml:space="preserve">Whether any product plays a sign clip on a button. Not checked.</w:t>
      </w:r>
    </w:p>
    <w:p>
      <w:pPr>
        <w:pStyle w:val="ListParagraph"/>
        <w:numPr>
          <w:ilvl w:val="0"/>
          <w:numId w:val="3"/>
        </w:numPr>
        <w:spacing w:after="80"/>
      </w:pPr>
      <w:r>
        <w:rPr>
          <w:rFonts w:ascii="Calibri" w:cs="Calibri" w:eastAsia="Calibri" w:hAnsi="Calibri"/>
          <w:sz w:val="22"/>
          <w:szCs w:val="22"/>
        </w:rPr>
        <w:t xml:space="preserve">Whether a district will host a discovery classroom. Not asked.</w:t>
      </w:r>
    </w:p>
    <w:p>
      <w:pPr>
        <w:pStyle w:val="ListParagraph"/>
        <w:numPr>
          <w:ilvl w:val="0"/>
          <w:numId w:val="3"/>
        </w:numPr>
        <w:spacing w:after="80"/>
      </w:pPr>
      <w:r>
        <w:rPr>
          <w:rFonts w:ascii="Calibri" w:cs="Calibri" w:eastAsia="Calibri" w:hAnsi="Calibri"/>
          <w:sz w:val="22"/>
          <w:szCs w:val="22"/>
        </w:rPr>
        <w:t xml:space="preserve">Everything in "My recommendations" above.</w:t>
      </w:r>
    </w:p>
    <w:p>
      <w:pPr>
        <w:pStyle w:val="Heading1"/>
        <w:spacing w:after="120" w:before="320"/>
      </w:pPr>
      <w:r>
        <w:rPr>
          <w:rFonts w:ascii="Calibri" w:cs="Calibri" w:eastAsia="Calibri" w:hAnsi="Calibri"/>
        </w:rPr>
        <w:t xml:space="preserve">What carries over from EZvoxa</w:t>
      </w:r>
    </w:p>
    <w:p>
      <w:pPr>
        <w:spacing w:after="120"/>
      </w:pPr>
      <w:r>
        <w:rPr>
          <w:rFonts w:ascii="Calibri" w:cs="Calibri" w:eastAsia="Calibri" w:hAnsi="Calibri"/>
          <w:sz w:val="22"/>
          <w:szCs w:val="22"/>
        </w:rPr>
        <w:t xml:space="preserve">The rule (the picture is the button, one tap says a whole thing, no reading), the engine (index.html architecture, tether-icons.js, the Vercel api/*.js backend, Family Code, backup and restore, the organization licensing design approved in section 8 of the direct sales design), the business (EZ Voice LLC, trademark and copyright filing guide, ezvoxa.com corporate section, the district relationship to come), and the method (watch the child, cite the source).</w:t>
      </w:r>
    </w:p>
    <w:p>
      <w:pPr>
        <w:spacing w:after="120"/>
      </w:pPr>
      <w:r>
        <w:rPr>
          <w:rFonts w:ascii="Calibri" w:cs="Calibri" w:eastAsia="Calibri" w:hAnsi="Calibri"/>
          <w:sz w:val="22"/>
          <w:szCs w:val="22"/>
        </w:rPr>
        <w:t xml:space="preserve">What does not: the content (Evan's boards, teen phrases, icons made for his life), the assumption that we know the user, and the phone-first layout.</w:t>
      </w:r>
    </w:p>
    <w:p>
      <w:pPr>
        <w:pStyle w:val="Heading1"/>
        <w:spacing w:after="120" w:before="320"/>
      </w:pPr>
      <w:r>
        <w:rPr>
          <w:rFonts w:ascii="Calibri" w:cs="Calibri" w:eastAsia="Calibri" w:hAnsi="Calibri"/>
        </w:rPr>
        <w:t xml:space="preserve">Constraints from the funding research</w:t>
      </w:r>
    </w:p>
    <w:p>
      <w:pPr>
        <w:spacing w:after="120"/>
      </w:pPr>
      <w:r>
        <w:rPr>
          <w:rFonts w:ascii="Calibri" w:cs="Calibri" w:eastAsia="Calibri" w:hAnsi="Calibri"/>
          <w:sz w:val="22"/>
          <w:szCs w:val="22"/>
        </w:rPr>
        <w:t xml:space="preserve">Florida Medicaid Rule 59G-4.072 excludes "computers, tablets, smartphones, or other general computing devices". The evaluating SLP may not have a financial relationship with the supplier (Medicare LCD L33739; Florida school-match handbook). A software product on district iPads is outside the Medicaid pipeline; the buyer is the district under 34 CFR 300.105 ("at public expense ... without charge").</w:t>
      </w:r>
    </w:p>
    <w:p>
      <w:pPr>
        <w:pStyle w:val="Heading1"/>
        <w:spacing w:after="120" w:before="320"/>
      </w:pPr>
      <w:r>
        <w:rPr>
          <w:rFonts w:ascii="Calibri" w:cs="Calibri" w:eastAsia="Calibri" w:hAnsi="Calibri"/>
        </w:rPr>
        <w:t xml:space="preserve">Open decisions for Frank</w:t>
      </w:r>
    </w:p>
    <w:p>
      <w:pPr>
        <w:pStyle w:val="ListParagraph"/>
        <w:numPr>
          <w:ilvl w:val="0"/>
          <w:numId w:val="2"/>
        </w:numPr>
        <w:spacing w:after="80"/>
      </w:pPr>
      <w:r>
        <w:rPr>
          <w:rFonts w:ascii="Calibri" w:cs="Calibri" w:eastAsia="Calibri" w:hAnsi="Calibri"/>
          <w:sz w:val="22"/>
          <w:szCs w:val="22"/>
        </w:rPr>
        <w:t xml:space="preserve">The name and whether it is an EZvoxa product or its own brand.</w:t>
      </w:r>
    </w:p>
    <w:p>
      <w:pPr>
        <w:pStyle w:val="ListParagraph"/>
        <w:numPr>
          <w:ilvl w:val="0"/>
          <w:numId w:val="2"/>
        </w:numPr>
        <w:spacing w:after="80"/>
      </w:pPr>
      <w:r>
        <w:rPr>
          <w:rFonts w:ascii="Calibri" w:cs="Calibri" w:eastAsia="Calibri" w:hAnsi="Calibri"/>
          <w:sz w:val="22"/>
          <w:szCs w:val="22"/>
        </w:rPr>
        <w:t xml:space="preserve">Sync structure: family code owns the board and the classroom joins it (my recommendation), or the district account holds it.</w:t>
      </w:r>
    </w:p>
    <w:p>
      <w:pPr>
        <w:pStyle w:val="ListParagraph"/>
        <w:numPr>
          <w:ilvl w:val="0"/>
          <w:numId w:val="2"/>
        </w:numPr>
        <w:spacing w:after="80"/>
      </w:pPr>
      <w:r>
        <w:rPr>
          <w:rFonts w:ascii="Calibri" w:cs="Calibri" w:eastAsia="Calibri" w:hAnsi="Calibri"/>
          <w:sz w:val="22"/>
          <w:szCs w:val="22"/>
        </w:rPr>
        <w:t xml:space="preserve">Whether to run the discovery year before designing, and where.</w:t>
      </w:r>
    </w:p>
    <w:p>
      <w:pPr>
        <w:pStyle w:val="ListParagraph"/>
        <w:numPr>
          <w:ilvl w:val="0"/>
          <w:numId w:val="2"/>
        </w:numPr>
        <w:spacing w:after="80"/>
      </w:pPr>
      <w:r>
        <w:rPr>
          <w:rFonts w:ascii="Calibri" w:cs="Calibri" w:eastAsia="Calibri" w:hAnsi="Calibri"/>
          <w:sz w:val="22"/>
          <w:szCs w:val="22"/>
        </w:rPr>
        <w:t xml:space="preserve">Sign clips on buttons: yes, no, or test it.</w:t>
      </w:r>
    </w:p>
    <w:p>
      <w:pPr>
        <w:pStyle w:val="ListParagraph"/>
        <w:numPr>
          <w:ilvl w:val="0"/>
          <w:numId w:val="2"/>
        </w:numPr>
        <w:spacing w:after="80"/>
      </w:pPr>
      <w:r>
        <w:rPr>
          <w:rFonts w:ascii="Calibri" w:cs="Calibri" w:eastAsia="Calibri" w:hAnsi="Calibri"/>
          <w:sz w:val="22"/>
          <w:szCs w:val="22"/>
        </w:rPr>
        <w:t xml:space="preserve">Whether the phrase layer, the builder, or both lead the first screen.</w:t>
      </w:r>
    </w:p>
    <w:p>
      <w:pPr>
        <w:pStyle w:val="Heading1"/>
        <w:spacing w:after="120" w:before="320"/>
      </w:pPr>
      <w:r>
        <w:rPr>
          <w:rFonts w:ascii="Calibri" w:cs="Calibri" w:eastAsia="Calibri" w:hAnsi="Calibri"/>
        </w:rPr>
        <w:t xml:space="preserve">Files</w:t>
      </w:r>
    </w:p>
    <w:p>
      <w:pPr>
        <w:pStyle w:val="ListParagraph"/>
        <w:numPr>
          <w:ilvl w:val="0"/>
          <w:numId w:val="3"/>
        </w:numPr>
        <w:spacing w:after="80"/>
      </w:pPr>
      <w:r>
        <w:rPr>
          <w:rFonts w:ascii="Calibri" w:cs="Calibri" w:eastAsia="Calibri" w:hAnsi="Calibri"/>
          <w:sz w:val="22"/>
          <w:szCs w:val="22"/>
        </w:rPr>
        <w:t xml:space="preserve">EZvoxa Elementary AAC Deep Dive.docx (repository root)</w:t>
      </w:r>
    </w:p>
    <w:p>
      <w:pPr>
        <w:pStyle w:val="ListParagraph"/>
        <w:numPr>
          <w:ilvl w:val="0"/>
          <w:numId w:val="3"/>
        </w:numPr>
        <w:spacing w:after="80"/>
      </w:pPr>
      <w:r>
        <w:rPr>
          <w:rFonts w:ascii="Calibri" w:cs="Calibri" w:eastAsia="Calibri" w:hAnsi="Calibri"/>
          <w:sz w:val="22"/>
          <w:szCs w:val="22"/>
        </w:rPr>
        <w:t xml:space="preserve">research/aac-elementary-2026-09-10/aac-products.md, aac-design-research.md, aac-outcomes.md, aac-funding.md</w:t>
      </w:r>
    </w:p>
    <w:p>
      <w:pPr>
        <w:pStyle w:val="ListParagraph"/>
        <w:numPr>
          <w:ilvl w:val="0"/>
          <w:numId w:val="3"/>
        </w:numPr>
        <w:spacing w:after="80"/>
      </w:pPr>
      <w:r>
        <w:rPr>
          <w:rFonts w:ascii="Calibri" w:cs="Calibri" w:eastAsia="Calibri" w:hAnsi="Calibri"/>
          <w:sz w:val="22"/>
          <w:szCs w:val="22"/>
        </w:rPr>
        <w:t xml:space="preserve">EZvoxa Pro Direct Sales and Distribution Design.docx (section 5, the license system, and section 8, approved)</w:t>
      </w:r>
    </w:p>
    <w:p>
      <w:pPr>
        <w:pStyle w:val="ListParagraph"/>
        <w:numPr>
          <w:ilvl w:val="0"/>
          <w:numId w:val="3"/>
        </w:numPr>
        <w:spacing w:after="80"/>
      </w:pPr>
      <w:r>
        <w:rPr>
          <w:rFonts w:ascii="Calibri" w:cs="Calibri" w:eastAsia="Calibri" w:hAnsi="Calibri"/>
          <w:sz w:val="22"/>
          <w:szCs w:val="22"/>
        </w:rPr>
        <w:t xml:space="preserve">DECISIONS.md entries dated 9 and 10 Sep 2026; LEDGER.md sections "Elementary AAC deep dive" and "Sign versus device".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2026-09-09T14:28:17.721Z</dcterms:created>
  <dcterms:modified xsi:type="dcterms:W3CDTF">2026-09-09T14:28:17.736Z</dcterms:modified>
</cp:coreProperties>
</file>

<file path=docProps/custom.xml><?xml version="1.0" encoding="utf-8"?>
<Properties xmlns="http://schemas.openxmlformats.org/officeDocument/2006/custom-properties" xmlns:vt="http://schemas.openxmlformats.org/officeDocument/2006/docPropsVTypes"/>
</file>