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$466,779,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$60,916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$73,283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$173,034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$132,810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$305,844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$160,935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$466,779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$1,478,961,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$184,959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$249,818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$299,870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$549,688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$408,078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$957,766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$521,195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$1,478,961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$4,999,052,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$682,044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$877,485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$1,559,529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$1,388,175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$2,947,704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$2,051,349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$4,999,053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$7,107,604,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$475,850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$624,225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$972,106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$1,596,331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$1,925,655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$3,521,986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$3,585,618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$7,107,605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$466,779, $1,478,961 and $4,999,052.</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Settled 8 September: EZvoxa Pro is its own listing and is sold by EZ Voice direct, not through Apple School Manager, so Frank can negotiate by order size; Apple’s rule is recorded for what it is, not as our channel.</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2026-09-09T01:33:57.313Z</dcterms:created>
  <dcterms:modified xsi:type="dcterms:W3CDTF">2026-09-09T01:33:57.313Z</dcterms:modified>
</cp:coreProperties>
</file>

<file path=docProps/custom.xml><?xml version="1.0" encoding="utf-8"?>
<Properties xmlns="http://schemas.openxmlformats.org/officeDocument/2006/custom-properties" xmlns:vt="http://schemas.openxmlformats.org/officeDocument/2006/docPropsVTypes"/>
</file>