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40"/>
          <w:szCs w:val="40"/>
        </w:rPr>
        <w:t xml:space="preserve">EZvoxa Business Plan and Projections</w:t>
      </w:r>
    </w:p>
    <w:p>
      <w:pPr>
        <w:spacing w:after="120"/>
      </w:pPr>
      <w:r>
        <w:rPr>
          <w:rFonts w:ascii="Calibri" w:cs="Calibri" w:eastAsia="Calibri" w:hAnsi="Calibri"/>
          <w:color w:val="6B6459"/>
          <w:sz w:val="22"/>
          <w:szCs w:val="22"/>
        </w:rPr>
        <w:t xml:space="preserve">Revised 8 September 2026: the 7 September document’s three cases, plus the National case and the rollout roadmap from the Master Hub page pasted on 8 September. Generated from the same formulas as the finance widget (finance.html) and the Master Hub (hub.html) on our domain, so the three cannot disagree.</w:t>
      </w:r>
    </w:p>
    <w:p>
      <w:pPr>
        <w:spacing w:after="120"/>
      </w:pPr>
      <w:r>
        <w:rPr>
          <w:rFonts w:ascii="Calibri" w:cs="Calibri" w:eastAsia="Calibri" w:hAnsi="Calibri"/>
          <w:color w:val="6B6459"/>
          <w:sz w:val="20"/>
          <w:szCs w:val="20"/>
        </w:rPr>
        <w:t xml:space="preserve">Rules that apply to every line: no guessing, no assuming; every figure says where it came from; no price here is confirmed until Frank confirms it.</w:t>
      </w:r>
    </w:p>
    <w:p>
      <w:pPr>
        <w:pStyle w:val="Heading1"/>
        <w:spacing w:after="120" w:before="320"/>
      </w:pPr>
      <w:r>
        <w:rPr>
          <w:rFonts w:ascii="Calibri" w:cs="Calibri" w:eastAsia="Calibri" w:hAnsi="Calibri"/>
        </w:rPr>
        <w:t xml:space="preserve">1. What this is</w:t>
      </w:r>
    </w:p>
    <w:p>
      <w:pPr>
        <w:pStyle w:val="ListParagraph"/>
        <w:numPr>
          <w:ilvl w:val="0"/>
          <w:numId w:val="2"/>
        </w:numPr>
        <w:spacing w:after="80"/>
      </w:pPr>
      <w:r>
        <w:rPr>
          <w:rFonts w:ascii="Calibri" w:cs="Calibri" w:eastAsia="Calibri" w:hAnsi="Calibri"/>
          <w:sz w:val="22"/>
          <w:szCs w:val="22"/>
        </w:rPr>
        <w:t xml:space="preserve">EZ Voice LLC, Florida. EZvoxa is a consumer AAC (augmentative and alternative communication) app for nonverbal teenagers and adults, and for people losing speech, built from the app Evan uses every day. The picture is the button; tapping it speaks. It runs on a phone the family already owns, with no clinical hardware and no cartoon look.</w:t>
      </w:r>
    </w:p>
    <w:p>
      <w:pPr>
        <w:pStyle w:val="ListParagraph"/>
        <w:numPr>
          <w:ilvl w:val="0"/>
          <w:numId w:val="2"/>
        </w:numPr>
        <w:spacing w:after="80"/>
      </w:pPr>
      <w:r>
        <w:rPr>
          <w:rFonts w:ascii="Calibri" w:cs="Calibri" w:eastAsia="Calibri" w:hAnsi="Calibri"/>
          <w:sz w:val="22"/>
          <w:szCs w:val="22"/>
        </w:rPr>
        <w:t xml:space="preserve">This document and the finance widget are one artifact in two forms. Change an input in the widget and the same change belongs here; the tables below are computed, not typed.</w:t>
      </w:r>
    </w:p>
    <w:p>
      <w:pPr>
        <w:pStyle w:val="ListParagraph"/>
        <w:numPr>
          <w:ilvl w:val="0"/>
          <w:numId w:val="2"/>
        </w:numPr>
        <w:spacing w:after="80"/>
      </w:pPr>
      <w:r>
        <w:rPr>
          <w:rFonts w:ascii="Calibri" w:cs="Calibri" w:eastAsia="Calibri" w:hAnsi="Calibri"/>
          <w:sz w:val="22"/>
          <w:szCs w:val="22"/>
        </w:rPr>
        <w:t xml:space="preserve">Prices below are the working numbers from Frank’s 7 September document. They replace the 15 August model’s $79.99 and $12.99. They are not confirmed. Nothing publishes until Frank confirms.</w:t>
      </w:r>
    </w:p>
    <w:p>
      <w:pPr>
        <w:pStyle w:val="Heading1"/>
        <w:spacing w:after="120" w:before="320"/>
      </w:pPr>
      <w:r>
        <w:rPr>
          <w:rFonts w:ascii="Calibri" w:cs="Calibri" w:eastAsia="Calibri" w:hAnsi="Calibri"/>
        </w:rPr>
        <w:t xml:space="preserve">2. Products and prices, as the 7 September document lays them out</w:t>
      </w:r>
    </w:p>
    <w:p>
      <w:pPr>
        <w:pStyle w:val="ListParagraph"/>
        <w:numPr>
          <w:ilvl w:val="0"/>
          <w:numId w:val="2"/>
        </w:numPr>
        <w:spacing w:after="80"/>
      </w:pPr>
      <w:r>
        <w:rPr>
          <w:rFonts w:ascii="Calibri" w:cs="Calibri" w:eastAsia="Calibri" w:hAnsi="Calibri"/>
          <w:sz w:val="22"/>
          <w:szCs w:val="22"/>
        </w:rPr>
        <w:t xml:space="preserve">Core Talker, $99.99 one-time, after a free trial in the store. Permanent ownership of the talker: the boards, the sentence builder, the speller, the body map. Works offline forever. Never needs a subscription to talk.</w:t>
      </w:r>
    </w:p>
    <w:p>
      <w:pPr>
        <w:pStyle w:val="ListParagraph"/>
        <w:numPr>
          <w:ilvl w:val="0"/>
          <w:numId w:val="2"/>
        </w:numPr>
        <w:spacing w:after="80"/>
      </w:pPr>
      <w:r>
        <w:rPr>
          <w:rFonts w:ascii="Calibri" w:cs="Calibri" w:eastAsia="Calibri" w:hAnsi="Calibri"/>
          <w:sz w:val="22"/>
          <w:szCs w:val="22"/>
        </w:rPr>
        <w:t xml:space="preserve">Connected Family Tether, $9.99 a month or $99.99 a year, sold per family through the Family Code. Multi-phone sync, voice messages from a parent to the talker, everyday texting, the natural voice.</w:t>
      </w:r>
    </w:p>
    <w:p>
      <w:pPr>
        <w:pStyle w:val="ListParagraph"/>
        <w:numPr>
          <w:ilvl w:val="0"/>
          <w:numId w:val="2"/>
        </w:numPr>
        <w:spacing w:after="80"/>
      </w:pPr>
      <w:r>
        <w:rPr>
          <w:rFonts w:ascii="Calibri" w:cs="Calibri" w:eastAsia="Calibri" w:hAnsi="Calibri"/>
          <w:sz w:val="22"/>
          <w:szCs w:val="22"/>
        </w:rPr>
        <w:t xml:space="preserve">EZvoxa Pro for schools and clinicians, its own App Store listing (Frank, 8 September), $249.99 list per seat and $124.99 at 20 or more seats, bought through Apple School Manager and Google Play on district purchase orders under IDEA. No in-app subscription. Year 1 is the free pilot at Evan’s school, requested by its ESE director.</w:t>
      </w:r>
    </w:p>
    <w:p>
      <w:pPr>
        <w:pStyle w:val="ListParagraph"/>
        <w:numPr>
          <w:ilvl w:val="0"/>
          <w:numId w:val="2"/>
        </w:numPr>
        <w:spacing w:after="80"/>
      </w:pPr>
      <w:r>
        <w:rPr>
          <w:rFonts w:ascii="Calibri" w:cs="Calibri" w:eastAsia="Calibri" w:hAnsi="Calibri"/>
          <w:sz w:val="22"/>
          <w:szCs w:val="22"/>
        </w:rPr>
        <w:t xml:space="preserve">Hardship program: a family that cannot pay is marked paid on our server by us. No coupons, no public codes. Built.</w:t>
      </w:r>
    </w:p>
    <w:p>
      <w:pPr>
        <w:pStyle w:val="Heading2"/>
        <w:spacing w:after="100" w:before="240"/>
      </w:pPr>
      <w:r>
        <w:rPr>
          <w:rFonts w:ascii="Calibri" w:cs="Calibri" w:eastAsia="Calibri" w:hAnsi="Calibri"/>
        </w:rPr>
        <w:t xml:space="preserve">Three places where the 7 September document and the standing rules disagree, for Frank’s ruling</w:t>
      </w:r>
    </w:p>
    <w:p>
      <w:pPr>
        <w:pStyle w:val="ListParagraph"/>
        <w:numPr>
          <w:ilvl w:val="0"/>
          <w:numId w:val="2"/>
        </w:numPr>
        <w:spacing w:after="80"/>
      </w:pPr>
      <w:r>
        <w:rPr>
          <w:rFonts w:ascii="Calibri" w:cs="Calibri" w:eastAsia="Calibri" w:hAnsi="Calibri"/>
          <w:sz w:val="22"/>
          <w:szCs w:val="22"/>
        </w:rPr>
        <w:t xml:space="preserve">SOS Family Alert. The document puts the SOS alert inside the paid Family Tether. Frank’s ruling of 2 September, marked final, is that SOS Family Alert is free and never part of the subscription. This plan keeps it free; its cost to us is carried under cloud costs.</w:t>
      </w:r>
    </w:p>
    <w:p>
      <w:pPr>
        <w:pStyle w:val="ListParagraph"/>
        <w:numPr>
          <w:ilvl w:val="0"/>
          <w:numId w:val="2"/>
        </w:numPr>
        <w:spacing w:after="80"/>
      </w:pPr>
      <w:r>
        <w:rPr>
          <w:rFonts w:ascii="Calibri" w:cs="Calibri" w:eastAsia="Calibri" w:hAnsi="Calibri"/>
          <w:sz w:val="22"/>
          <w:szCs w:val="22"/>
        </w:rPr>
        <w:t xml:space="preserve">Voice messages. The document says two-way. Voice messages go one way, from a parent to the talker; the talker cannot record. Texting is one way too, talker to family, with an automatic reply telling a family member to use a voice message instead.</w:t>
      </w:r>
    </w:p>
    <w:p>
      <w:pPr>
        <w:pStyle w:val="ListParagraph"/>
        <w:numPr>
          <w:ilvl w:val="0"/>
          <w:numId w:val="2"/>
        </w:numPr>
        <w:spacing w:after="80"/>
      </w:pPr>
      <w:r>
        <w:rPr>
          <w:rFonts w:ascii="Calibri" w:cs="Calibri" w:eastAsia="Calibri" w:hAnsi="Calibri"/>
          <w:sz w:val="22"/>
          <w:szCs w:val="22"/>
        </w:rPr>
        <w:t xml:space="preserve">Trial length. The document says 14 days; the earlier model said 30. The trial is set in App Store Connect and is Frank’s call.</w:t>
      </w:r>
    </w:p>
    <w:p>
      <w:pPr>
        <w:pStyle w:val="Heading1"/>
        <w:spacing w:after="120" w:before="320"/>
      </w:pPr>
      <w:r>
        <w:rPr>
          <w:rFonts w:ascii="Calibri" w:cs="Calibri" w:eastAsia="Calibri" w:hAnsi="Calibri"/>
        </w:rPr>
        <w:t xml:space="preserve">3. Costs, each with its standing</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3000"/>
        <w:gridCol w:w="5900"/>
      </w:tblGrid>
      <w:tr>
        <w:tc>
          <w:tcPr>
            <w:tcW w:type="dxa" w:w="2600"/>
            <w:shd w:fill="E8E3DA" w:color="auto" w:val="clear"/>
            <w:tcMar>
              <w:top w:type="dxa" w:w="50"/>
              <w:left w:type="dxa" w:w="70"/>
              <w:bottom w:type="dxa" w:w="50"/>
              <w:right w:type="dxa" w:w="70"/>
            </w:tcMar>
          </w:tcPr>
          <w:p>
            <w:pPr>
              <w:jc w:val="left"/>
            </w:pPr>
            <w:r>
              <w:rPr>
                <w:rFonts w:ascii="Calibri" w:cs="Calibri" w:eastAsia="Calibri" w:hAnsi="Calibri"/>
                <w:b/>
                <w:bCs/>
                <w:sz w:val="16"/>
                <w:szCs w:val="16"/>
              </w:rPr>
              <w:t xml:space="preserve">Item</w:t>
            </w:r>
          </w:p>
        </w:tc>
        <w:tc>
          <w:tcPr>
            <w:tcW w:type="dxa" w:w="2400"/>
            <w:shd w:fill="E8E3DA" w:color="auto" w:val="clear"/>
            <w:tcMar>
              <w:top w:type="dxa" w:w="50"/>
              <w:left w:type="dxa" w:w="70"/>
              <w:bottom w:type="dxa" w:w="50"/>
              <w:right w:type="dxa" w:w="70"/>
            </w:tcMar>
          </w:tcPr>
          <w:p>
            <w:pPr>
              <w:jc w:val="left"/>
            </w:pPr>
            <w:r>
              <w:rPr>
                <w:rFonts w:ascii="Calibri" w:cs="Calibri" w:eastAsia="Calibri" w:hAnsi="Calibri"/>
                <w:b/>
                <w:bCs/>
                <w:sz w:val="16"/>
                <w:szCs w:val="16"/>
              </w:rPr>
              <w:t xml:space="preserve">Value</w:t>
            </w:r>
          </w:p>
        </w:tc>
        <w:tc>
          <w:tcPr>
            <w:tcW w:type="dxa" w:w="3000"/>
            <w:shd w:fill="E8E3DA" w:color="auto" w:val="clear"/>
            <w:tcMar>
              <w:top w:type="dxa" w:w="50"/>
              <w:left w:type="dxa" w:w="70"/>
              <w:bottom w:type="dxa" w:w="50"/>
              <w:right w:type="dxa" w:w="70"/>
            </w:tcMar>
          </w:tcPr>
          <w:p>
            <w:pPr>
              <w:jc w:val="left"/>
            </w:pPr>
            <w:r>
              <w:rPr>
                <w:rFonts w:ascii="Calibri" w:cs="Calibri" w:eastAsia="Calibri" w:hAnsi="Calibri"/>
                <w:b/>
                <w:bCs/>
                <w:sz w:val="16"/>
                <w:szCs w:val="16"/>
              </w:rPr>
              <w:t xml:space="preserve">Standing</w:t>
            </w:r>
          </w:p>
        </w:tc>
        <w:tc>
          <w:tcPr>
            <w:tcW w:type="dxa" w:w="5900"/>
            <w:shd w:fill="E8E3DA" w:color="auto" w:val="clear"/>
            <w:tcMar>
              <w:top w:type="dxa" w:w="50"/>
              <w:left w:type="dxa" w:w="70"/>
              <w:bottom w:type="dxa" w:w="50"/>
              <w:right w:type="dxa" w:w="70"/>
            </w:tcMar>
          </w:tcPr>
          <w:p>
            <w:pPr>
              <w:jc w:val="left"/>
            </w:pPr>
            <w:r>
              <w:rPr>
                <w:rFonts w:ascii="Calibri" w:cs="Calibri" w:eastAsia="Calibri" w:hAnsi="Calibri"/>
                <w:b/>
                <w:bCs/>
                <w:sz w:val="16"/>
                <w:szCs w:val="16"/>
              </w:rPr>
              <w:t xml:space="preserve">Where it came from</w:t>
            </w:r>
          </w:p>
        </w:tc>
      </w:tr>
      <w:tr>
        <w:tc>
          <w:tcPr>
            <w:tcW w:type="dxa" w:w="2600"/>
            <w:tcMar>
              <w:top w:type="dxa" w:w="50"/>
              <w:left w:type="dxa" w:w="70"/>
              <w:bottom w:type="dxa" w:w="50"/>
              <w:right w:type="dxa" w:w="70"/>
            </w:tcMar>
          </w:tcPr>
          <w:p>
            <w:pPr>
              <w:jc w:val="left"/>
            </w:pPr>
            <w:r>
              <w:rPr>
                <w:rFonts w:ascii="Calibri" w:cs="Calibri" w:eastAsia="Calibri" w:hAnsi="Calibri"/>
                <w:b w:val="false"/>
                <w:bCs w:val="false"/>
                <w:sz w:val="16"/>
                <w:szCs w:val="16"/>
              </w:rPr>
              <w:t xml:space="preserve">Apple Developer Program</w:t>
            </w:r>
          </w:p>
        </w:tc>
        <w:tc>
          <w:tcPr>
            <w:tcW w:type="dxa" w:w="24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$99 a year</w:t>
            </w:r>
          </w:p>
        </w:tc>
        <w:tc>
          <w:tcPr>
            <w:tcW w:type="dxa" w:w="30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Verified from the company’s own page</w:t>
            </w:r>
          </w:p>
        </w:tc>
        <w:tc>
          <w:tcPr>
            <w:tcW w:type="dxa" w:w="59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Apple Developer Program, $99 a year, Apple's enrollment page.</w:t>
            </w:r>
          </w:p>
        </w:tc>
      </w:tr>
      <w:tr>
        <w:tc>
          <w:tcPr>
            <w:tcW w:type="dxa" w:w="2600"/>
            <w:tcMar>
              <w:top w:type="dxa" w:w="50"/>
              <w:left w:type="dxa" w:w="70"/>
              <w:bottom w:type="dxa" w:w="50"/>
              <w:right w:type="dxa" w:w="70"/>
            </w:tcMar>
          </w:tcPr>
          <w:p>
            <w:pPr>
              <w:jc w:val="left"/>
            </w:pPr>
            <w:r>
              <w:rPr>
                <w:rFonts w:ascii="Calibri" w:cs="Calibri" w:eastAsia="Calibri" w:hAnsi="Calibri"/>
                <w:b w:val="false"/>
                <w:bCs w:val="false"/>
                <w:sz w:val="16"/>
                <w:szCs w:val="16"/>
              </w:rPr>
              <w:t xml:space="preserve">Google Play Console</w:t>
            </w:r>
          </w:p>
        </w:tc>
        <w:tc>
          <w:tcPr>
            <w:tcW w:type="dxa" w:w="24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$25 one-time</w:t>
            </w:r>
          </w:p>
        </w:tc>
        <w:tc>
          <w:tcPr>
            <w:tcW w:type="dxa" w:w="30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Verified from the company’s own page</w:t>
            </w:r>
          </w:p>
        </w:tc>
        <w:tc>
          <w:tcPr>
            <w:tcW w:type="dxa" w:w="59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Google Play Console registration, $25 one-time, recorded in the ledger from Google's page.</w:t>
            </w:r>
          </w:p>
        </w:tc>
      </w:tr>
      <w:tr>
        <w:tc>
          <w:tcPr>
            <w:tcW w:type="dxa" w:w="2600"/>
            <w:tcMar>
              <w:top w:type="dxa" w:w="50"/>
              <w:left w:type="dxa" w:w="70"/>
              <w:bottom w:type="dxa" w:w="50"/>
              <w:right w:type="dxa" w:w="70"/>
            </w:tcMar>
          </w:tcPr>
          <w:p>
            <w:pPr>
              <w:jc w:val="left"/>
            </w:pPr>
            <w:r>
              <w:rPr>
                <w:rFonts w:ascii="Calibri" w:cs="Calibri" w:eastAsia="Calibri" w:hAnsi="Calibri"/>
                <w:b w:val="false"/>
                <w:bCs w:val="false"/>
                <w:sz w:val="16"/>
                <w:szCs w:val="16"/>
              </w:rPr>
              <w:t xml:space="preserve">Store commission</w:t>
            </w:r>
          </w:p>
        </w:tc>
        <w:tc>
          <w:tcPr>
            <w:tcW w:type="dxa" w:w="24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15% of store sales</w:t>
            </w:r>
          </w:p>
        </w:tc>
        <w:tc>
          <w:tcPr>
            <w:tcW w:type="dxa" w:w="30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Verified from the company’s own page</w:t>
            </w:r>
          </w:p>
        </w:tc>
        <w:tc>
          <w:tcPr>
            <w:tcW w:type="dxa" w:w="59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Apple Small Business Program 15% under $1M a year; Google Play 15% on the first $1M. Read from Apple's and Google's help pages 4 Sep 2026.</w:t>
            </w:r>
          </w:p>
        </w:tc>
      </w:tr>
      <w:tr>
        <w:tc>
          <w:tcPr>
            <w:tcW w:type="dxa" w:w="2600"/>
            <w:tcMar>
              <w:top w:type="dxa" w:w="50"/>
              <w:left w:type="dxa" w:w="70"/>
              <w:bottom w:type="dxa" w:w="50"/>
              <w:right w:type="dxa" w:w="70"/>
            </w:tcMar>
          </w:tcPr>
          <w:p>
            <w:pPr>
              <w:jc w:val="left"/>
            </w:pPr>
            <w:r>
              <w:rPr>
                <w:rFonts w:ascii="Calibri" w:cs="Calibri" w:eastAsia="Calibri" w:hAnsi="Calibri"/>
                <w:b w:val="false"/>
                <w:bCs w:val="false"/>
                <w:sz w:val="16"/>
                <w:szCs w:val="16"/>
              </w:rPr>
              <w:t xml:space="preserve">RevenueCat</w:t>
            </w:r>
          </w:p>
        </w:tc>
        <w:tc>
          <w:tcPr>
            <w:tcW w:type="dxa" w:w="24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1% of store sales once past $2,500 a month</w:t>
            </w:r>
          </w:p>
        </w:tc>
        <w:tc>
          <w:tcPr>
            <w:tcW w:type="dxa" w:w="30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Verified from the company’s own page</w:t>
            </w:r>
          </w:p>
        </w:tc>
        <w:tc>
          <w:tcPr>
            <w:tcW w:type="dxa" w:w="59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RevenueCat's own pricing page, 7 Sep 2026: 1% of tracked revenue once past $2,500 a month.</w:t>
            </w:r>
          </w:p>
        </w:tc>
      </w:tr>
      <w:tr>
        <w:tc>
          <w:tcPr>
            <w:tcW w:type="dxa" w:w="2600"/>
            <w:tcMar>
              <w:top w:type="dxa" w:w="50"/>
              <w:left w:type="dxa" w:w="70"/>
              <w:bottom w:type="dxa" w:w="50"/>
              <w:right w:type="dxa" w:w="70"/>
            </w:tcMar>
          </w:tcPr>
          <w:p>
            <w:pPr>
              <w:jc w:val="left"/>
            </w:pPr>
            <w:r>
              <w:rPr>
                <w:rFonts w:ascii="Calibri" w:cs="Calibri" w:eastAsia="Calibri" w:hAnsi="Calibri"/>
                <w:b w:val="false"/>
                <w:bCs w:val="false"/>
                <w:sz w:val="16"/>
                <w:szCs w:val="16"/>
              </w:rPr>
              <w:t xml:space="preserve">Twilio, one text</w:t>
            </w:r>
          </w:p>
        </w:tc>
        <w:tc>
          <w:tcPr>
            <w:tcW w:type="dxa" w:w="24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$0.0133</w:t>
            </w:r>
          </w:p>
        </w:tc>
        <w:tc>
          <w:tcPr>
            <w:tcW w:type="dxa" w:w="30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Verified from the company’s own page</w:t>
            </w:r>
          </w:p>
        </w:tc>
        <w:tc>
          <w:tcPr>
            <w:tcW w:type="dxa" w:w="59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Twilio US SMS page, 5 Sep 2026: $0.0083 per outbound segment plus up to $0.005 carrier fee, one segment.</w:t>
            </w:r>
          </w:p>
        </w:tc>
      </w:tr>
      <w:tr>
        <w:tc>
          <w:tcPr>
            <w:tcW w:type="dxa" w:w="2600"/>
            <w:tcMar>
              <w:top w:type="dxa" w:w="50"/>
              <w:left w:type="dxa" w:w="70"/>
              <w:bottom w:type="dxa" w:w="50"/>
              <w:right w:type="dxa" w:w="70"/>
            </w:tcMar>
          </w:tcPr>
          <w:p>
            <w:pPr>
              <w:jc w:val="left"/>
            </w:pPr>
            <w:r>
              <w:rPr>
                <w:rFonts w:ascii="Calibri" w:cs="Calibri" w:eastAsia="Calibri" w:hAnsi="Calibri"/>
                <w:b w:val="false"/>
                <w:bCs w:val="false"/>
                <w:sz w:val="16"/>
                <w:szCs w:val="16"/>
              </w:rPr>
              <w:t xml:space="preserve">Twilio, one SOS alert to one person</w:t>
            </w:r>
          </w:p>
        </w:tc>
        <w:tc>
          <w:tcPr>
            <w:tcW w:type="dxa" w:w="24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$0.0266</w:t>
            </w:r>
          </w:p>
        </w:tc>
        <w:tc>
          <w:tcPr>
            <w:tcW w:type="dxa" w:w="30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Verified from the company’s own page</w:t>
            </w:r>
          </w:p>
        </w:tc>
        <w:tc>
          <w:tcPr>
            <w:tcW w:type="dxa" w:w="59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Same page; an SOS text with a map link is two segments, to one person.</w:t>
            </w:r>
          </w:p>
        </w:tc>
      </w:tr>
      <w:tr>
        <w:tc>
          <w:tcPr>
            <w:tcW w:type="dxa" w:w="2600"/>
            <w:tcMar>
              <w:top w:type="dxa" w:w="50"/>
              <w:left w:type="dxa" w:w="70"/>
              <w:bottom w:type="dxa" w:w="50"/>
              <w:right w:type="dxa" w:w="70"/>
            </w:tcMar>
          </w:tcPr>
          <w:p>
            <w:pPr>
              <w:jc w:val="left"/>
            </w:pPr>
            <w:r>
              <w:rPr>
                <w:rFonts w:ascii="Calibri" w:cs="Calibri" w:eastAsia="Calibri" w:hAnsi="Calibri"/>
                <w:b w:val="false"/>
                <w:bCs w:val="false"/>
                <w:sz w:val="16"/>
                <w:szCs w:val="16"/>
              </w:rPr>
              <w:t xml:space="preserve">Twilio, the number</w:t>
            </w:r>
          </w:p>
        </w:tc>
        <w:tc>
          <w:tcPr>
            <w:tcW w:type="dxa" w:w="24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$1.15 a month</w:t>
            </w:r>
          </w:p>
        </w:tc>
        <w:tc>
          <w:tcPr>
            <w:tcW w:type="dxa" w:w="30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Verified from the company’s own page</w:t>
            </w:r>
          </w:p>
        </w:tc>
        <w:tc>
          <w:tcPr>
            <w:tcW w:type="dxa" w:w="59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Twilio US page, 5 Sep 2026: leased long code $1.15 a month.</w:t>
            </w:r>
          </w:p>
        </w:tc>
      </w:tr>
      <w:tr>
        <w:tc>
          <w:tcPr>
            <w:tcW w:type="dxa" w:w="2600"/>
            <w:tcMar>
              <w:top w:type="dxa" w:w="50"/>
              <w:left w:type="dxa" w:w="70"/>
              <w:bottom w:type="dxa" w:w="50"/>
              <w:right w:type="dxa" w:w="70"/>
            </w:tcMar>
          </w:tcPr>
          <w:p>
            <w:pPr>
              <w:jc w:val="left"/>
            </w:pPr>
            <w:r>
              <w:rPr>
                <w:rFonts w:ascii="Calibri" w:cs="Calibri" w:eastAsia="Calibri" w:hAnsi="Calibri"/>
                <w:b w:val="false"/>
                <w:bCs w:val="false"/>
                <w:sz w:val="16"/>
                <w:szCs w:val="16"/>
              </w:rPr>
              <w:t xml:space="preserve">Twilio, 10DLC registration</w:t>
            </w:r>
          </w:p>
        </w:tc>
        <w:tc>
          <w:tcPr>
            <w:tcW w:type="dxa" w:w="24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$19 one-time</w:t>
            </w:r>
          </w:p>
        </w:tc>
        <w:tc>
          <w:tcPr>
            <w:tcW w:type="dxa" w:w="30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From Frank’s 7 Sep document, not verified from the page</w:t>
            </w:r>
          </w:p>
        </w:tc>
        <w:tc>
          <w:tcPr>
            <w:tcW w:type="dxa" w:w="59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$4 brand plus $15 campaign registration in Frank's document. Twilio's page says 10DLC fees apply but does not show the amounts; not verified.</w:t>
            </w:r>
          </w:p>
        </w:tc>
      </w:tr>
      <w:tr>
        <w:tc>
          <w:tcPr>
            <w:tcW w:type="dxa" w:w="2600"/>
            <w:tcMar>
              <w:top w:type="dxa" w:w="50"/>
              <w:left w:type="dxa" w:w="70"/>
              <w:bottom w:type="dxa" w:w="50"/>
              <w:right w:type="dxa" w:w="70"/>
            </w:tcMar>
          </w:tcPr>
          <w:p>
            <w:pPr>
              <w:jc w:val="left"/>
            </w:pPr>
            <w:r>
              <w:rPr>
                <w:rFonts w:ascii="Calibri" w:cs="Calibri" w:eastAsia="Calibri" w:hAnsi="Calibri"/>
                <w:b w:val="false"/>
                <w:bCs w:val="false"/>
                <w:sz w:val="16"/>
                <w:szCs w:val="16"/>
              </w:rPr>
              <w:t xml:space="preserve">ElevenLabs, natural voice</w:t>
            </w:r>
          </w:p>
        </w:tc>
        <w:tc>
          <w:tcPr>
            <w:tcW w:type="dxa" w:w="24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$0.1 per family per month</w:t>
            </w:r>
          </w:p>
        </w:tc>
        <w:tc>
          <w:tcPr>
            <w:tcW w:type="dxa" w:w="30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Assumption, no source</w:t>
            </w:r>
          </w:p>
        </w:tc>
        <w:tc>
          <w:tcPr>
            <w:tcW w:type="dxa" w:w="59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Per-family monthly cost of the natural voice after the 7 Sep server memory (each phrase paid once). Not measured yet; placeholder.</w:t>
            </w:r>
          </w:p>
        </w:tc>
      </w:tr>
      <w:tr>
        <w:tc>
          <w:tcPr>
            <w:tcW w:type="dxa" w:w="2600"/>
            <w:tcMar>
              <w:top w:type="dxa" w:w="50"/>
              <w:left w:type="dxa" w:w="70"/>
              <w:bottom w:type="dxa" w:w="50"/>
              <w:right w:type="dxa" w:w="70"/>
            </w:tcMar>
          </w:tcPr>
          <w:p>
            <w:pPr>
              <w:jc w:val="left"/>
            </w:pPr>
            <w:r>
              <w:rPr>
                <w:rFonts w:ascii="Calibri" w:cs="Calibri" w:eastAsia="Calibri" w:hAnsi="Calibri"/>
                <w:b w:val="false"/>
                <w:bCs w:val="false"/>
                <w:sz w:val="16"/>
                <w:szCs w:val="16"/>
              </w:rPr>
              <w:t xml:space="preserve">Vercel and the store</w:t>
            </w:r>
          </w:p>
        </w:tc>
        <w:tc>
          <w:tcPr>
            <w:tcW w:type="dxa" w:w="24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$20 a month</w:t>
            </w:r>
          </w:p>
        </w:tc>
        <w:tc>
          <w:tcPr>
            <w:tcW w:type="dxa" w:w="30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From Frank’s 7 Sep document, not verified from the page</w:t>
            </w:r>
          </w:p>
        </w:tc>
        <w:tc>
          <w:tcPr>
            <w:tcW w:type="dxa" w:w="59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Vercel Pro $20 a month in Frank's document. Not read from Vercel's page.</w:t>
            </w:r>
          </w:p>
        </w:tc>
      </w:tr>
      <w:tr>
        <w:tc>
          <w:tcPr>
            <w:tcW w:type="dxa" w:w="2600"/>
            <w:tcMar>
              <w:top w:type="dxa" w:w="50"/>
              <w:left w:type="dxa" w:w="70"/>
              <w:bottom w:type="dxa" w:w="50"/>
              <w:right w:type="dxa" w:w="70"/>
            </w:tcMar>
          </w:tcPr>
          <w:p>
            <w:pPr>
              <w:jc w:val="left"/>
            </w:pPr>
            <w:r>
              <w:rPr>
                <w:rFonts w:ascii="Calibri" w:cs="Calibri" w:eastAsia="Calibri" w:hAnsi="Calibri"/>
                <w:b w:val="false"/>
                <w:bCs w:val="false"/>
                <w:sz w:val="16"/>
                <w:szCs w:val="16"/>
              </w:rPr>
              <w:t xml:space="preserve">Codemagic</w:t>
            </w:r>
          </w:p>
        </w:tc>
        <w:tc>
          <w:tcPr>
            <w:tcW w:type="dxa" w:w="24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$0 a month</w:t>
            </w:r>
          </w:p>
        </w:tc>
        <w:tc>
          <w:tcPr>
            <w:tcW w:type="dxa" w:w="30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From Frank’s 7 Sep document, not verified from the page</w:t>
            </w:r>
          </w:p>
        </w:tc>
        <w:tc>
          <w:tcPr>
            <w:tcW w:type="dxa" w:w="59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Free tier with 500 build minutes a month in Frank's document. Not read from Codemagic's page.</w:t>
            </w:r>
          </w:p>
        </w:tc>
      </w:tr>
      <w:tr>
        <w:tc>
          <w:tcPr>
            <w:tcW w:type="dxa" w:w="2600"/>
            <w:tcMar>
              <w:top w:type="dxa" w:w="50"/>
              <w:left w:type="dxa" w:w="70"/>
              <w:bottom w:type="dxa" w:w="50"/>
              <w:right w:type="dxa" w:w="70"/>
            </w:tcMar>
          </w:tcPr>
          <w:p>
            <w:pPr>
              <w:jc w:val="left"/>
            </w:pPr>
            <w:r>
              <w:rPr>
                <w:rFonts w:ascii="Calibri" w:cs="Calibri" w:eastAsia="Calibri" w:hAnsi="Calibri"/>
                <w:b w:val="false"/>
                <w:bCs w:val="false"/>
                <w:sz w:val="16"/>
                <w:szCs w:val="16"/>
              </w:rPr>
              <w:t xml:space="preserve">Refunds and chargebacks</w:t>
            </w:r>
          </w:p>
        </w:tc>
        <w:tc>
          <w:tcPr>
            <w:tcW w:type="dxa" w:w="24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4% of store sales</w:t>
            </w:r>
          </w:p>
        </w:tc>
        <w:tc>
          <w:tcPr>
            <w:tcW w:type="dxa" w:w="30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Assumption, no source</w:t>
            </w:r>
          </w:p>
        </w:tc>
        <w:tc>
          <w:tcPr>
            <w:tcW w:type="dxa" w:w="59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About 4% refund and chargeback leakage, carried over from the 15 Aug model, which cited a vendor benchmark that does not pass the sourcing rule.</w:t>
            </w:r>
          </w:p>
        </w:tc>
      </w:tr>
      <w:tr>
        <w:tc>
          <w:tcPr>
            <w:tcW w:type="dxa" w:w="2600"/>
            <w:tcMar>
              <w:top w:type="dxa" w:w="50"/>
              <w:left w:type="dxa" w:w="70"/>
              <w:bottom w:type="dxa" w:w="50"/>
              <w:right w:type="dxa" w:w="70"/>
            </w:tcMar>
          </w:tcPr>
          <w:p>
            <w:pPr>
              <w:jc w:val="left"/>
            </w:pPr>
            <w:r>
              <w:rPr>
                <w:rFonts w:ascii="Calibri" w:cs="Calibri" w:eastAsia="Calibri" w:hAnsi="Calibri"/>
                <w:b w:val="false"/>
                <w:bCs w:val="false"/>
                <w:sz w:val="16"/>
                <w:szCs w:val="16"/>
              </w:rPr>
              <w:t xml:space="preserve">Acquisition</w:t>
            </w:r>
          </w:p>
        </w:tc>
        <w:tc>
          <w:tcPr>
            <w:tcW w:type="dxa" w:w="24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$12 per buyer</w:t>
            </w:r>
          </w:p>
        </w:tc>
        <w:tc>
          <w:tcPr>
            <w:tcW w:type="dxa" w:w="30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Assumption, no source</w:t>
            </w:r>
          </w:p>
        </w:tc>
        <w:tc>
          <w:tcPr>
            <w:tcW w:type="dxa" w:w="5900"/>
            <w:tcMar>
              <w:top w:type="dxa" w:w="50"/>
              <w:left w:type="dxa" w:w="70"/>
              <w:bottom w:type="dxa" w:w="50"/>
              <w:right w:type="dxa" w:w="70"/>
            </w:tcMar>
          </w:tcPr>
          <w:p>
            <w:pPr>
              <w:jc w:val="right"/>
            </w:pPr>
            <w:r>
              <w:rPr>
                <w:rFonts w:ascii="Calibri" w:cs="Calibri" w:eastAsia="Calibri" w:hAnsi="Calibri"/>
                <w:b w:val="false"/>
                <w:bCs w:val="false"/>
                <w:sz w:val="16"/>
                <w:szCs w:val="16"/>
              </w:rPr>
              <w:t xml:space="preserve">About $12 blended cost per buyer, carried over from the 15 Aug model as a labeled assumption.</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Usage assumptions with no source yet: 30 texts per family per month, 2 SOS alerts per family per year, and the per-family voice cost above. Real families will replace all three.</w:t>
      </w:r>
    </w:p>
    <w:p>
      <w:pPr>
        <w:pStyle w:val="Heading1"/>
        <w:spacing w:after="120" w:before="320"/>
      </w:pPr>
      <w:r>
        <w:rPr>
          <w:rFonts w:ascii="Calibri" w:cs="Calibri" w:eastAsia="Calibri" w:hAnsi="Calibri"/>
        </w:rPr>
        <w:t xml:space="preserve">4. Five-year projections</w:t>
      </w:r>
    </w:p>
    <w:p>
      <w:pPr>
        <w:spacing w:after="120"/>
      </w:pPr>
      <w:r>
        <w:rPr>
          <w:rFonts w:ascii="Calibri" w:cs="Calibri" w:eastAsia="Calibri" w:hAnsi="Calibri"/>
          <w:sz w:val="22"/>
          <w:szCs w:val="22"/>
        </w:rPr>
        <w:t xml:space="preserve">Formulas: Talker is buyers that year times the one-time price. Family Tether is the average of the year’s starting and ending subscribers, times the monthly price, times twelve. Schools are district seats at the volume price when 20 or more seats. Store fees are 15% of everything sold through a store, schools included. RevenueCat is 1% of store sales once tracked revenue passes $2,500 a month, which happens in Year 1 in every case. Cloud and fixed covers texts and alerts at Twilio’s rates, the voice per family, the Twilio number, Vercel, Codemagic, Apple’s yearly fee and the one-time Google and 10DLC fees. Refunds and acquisition are the earlier model’s assumptions, carried over. Operating expenses per year are from Frank’s document.</w:t>
      </w:r>
    </w:p>
    <w:p>
      <w:pPr>
        <w:pStyle w:val="Heading2"/>
        <w:spacing w:after="100" w:before="240"/>
      </w:pPr>
      <w:r>
        <w:rPr>
          <w:rFonts w:ascii="Calibri" w:cs="Calibri" w:eastAsia="Calibri" w:hAnsi="Calibri"/>
        </w:rPr>
        <w:t xml:space="preserve">Floor case: five-year net $475,403, 6,350 buyers, 620 subscribers at the end of Year 5</w:t>
      </w:r>
    </w:p>
    <w:tbl>
      <w:tblPr>
        <w:tblW w:type="dxa" w:w="11660"/>
        <w:tblBorders>
          <w:top w:val="single" w:color="auto" w:sz="4"/>
          <w:left w:val="single" w:color="auto" w:sz="4"/>
          <w:bottom w:val="single" w:color="auto" w:sz="4"/>
          <w:right w:val="single" w:color="auto" w:sz="4"/>
          <w:insideH w:val="single" w:color="auto" w:sz="4"/>
          <w:insideV w:val="single" w:color="auto" w:sz="4"/>
        </w:tblBorders>
      </w:tblPr>
      <w:tblGrid>
        <w:gridCol w:w="520"/>
        <w:gridCol w:w="560"/>
        <w:gridCol w:w="560"/>
        <w:gridCol w:w="560"/>
        <w:gridCol w:w="900"/>
        <w:gridCol w:w="720"/>
        <w:gridCol w:w="760"/>
        <w:gridCol w:w="720"/>
        <w:gridCol w:w="760"/>
        <w:gridCol w:w="700"/>
        <w:gridCol w:w="660"/>
        <w:gridCol w:w="620"/>
        <w:gridCol w:w="700"/>
        <w:gridCol w:w="700"/>
        <w:gridCol w:w="700"/>
        <w:gridCol w:w="720"/>
        <w:gridCol w:w="800"/>
      </w:tblGrid>
      <w:tr>
        <w:tc>
          <w:tcPr>
            <w:tcW w:type="dxa" w:w="52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Year</w:t>
            </w:r>
          </w:p>
        </w:tc>
        <w:tc>
          <w:tcPr>
            <w:tcW w:type="dxa" w:w="56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Buyers</w:t>
            </w:r>
          </w:p>
        </w:tc>
        <w:tc>
          <w:tcPr>
            <w:tcW w:type="dxa" w:w="56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Subs, end</w:t>
            </w:r>
          </w:p>
        </w:tc>
        <w:tc>
          <w:tcPr>
            <w:tcW w:type="dxa" w:w="56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Subs, avg</w:t>
            </w:r>
          </w:p>
        </w:tc>
        <w:tc>
          <w:tcPr>
            <w:tcW w:type="dxa" w:w="9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Districts, seats (clinics)</w:t>
            </w:r>
          </w:p>
        </w:tc>
        <w:tc>
          <w:tcPr>
            <w:tcW w:type="dxa" w:w="72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Talker</w:t>
            </w:r>
          </w:p>
        </w:tc>
        <w:tc>
          <w:tcPr>
            <w:tcW w:type="dxa" w:w="76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Family Tether</w:t>
            </w:r>
          </w:p>
        </w:tc>
        <w:tc>
          <w:tcPr>
            <w:tcW w:type="dxa" w:w="72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Schools</w:t>
            </w:r>
          </w:p>
        </w:tc>
        <w:tc>
          <w:tcPr>
            <w:tcW w:type="dxa" w:w="76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Gross</w:t>
            </w:r>
          </w:p>
        </w:tc>
        <w:tc>
          <w:tcPr>
            <w:tcW w:type="dxa" w:w="7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Store fees</w:t>
            </w:r>
          </w:p>
        </w:tc>
        <w:tc>
          <w:tcPr>
            <w:tcW w:type="dxa" w:w="66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RevenueCat</w:t>
            </w:r>
          </w:p>
        </w:tc>
        <w:tc>
          <w:tcPr>
            <w:tcW w:type="dxa" w:w="62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Refunds</w:t>
            </w:r>
          </w:p>
        </w:tc>
        <w:tc>
          <w:tcPr>
            <w:tcW w:type="dxa" w:w="7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Cloud, fixed</w:t>
            </w:r>
          </w:p>
        </w:tc>
        <w:tc>
          <w:tcPr>
            <w:tcW w:type="dxa" w:w="7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Acquisition</w:t>
            </w:r>
          </w:p>
        </w:tc>
        <w:tc>
          <w:tcPr>
            <w:tcW w:type="dxa" w:w="7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Operating</w:t>
            </w:r>
          </w:p>
        </w:tc>
        <w:tc>
          <w:tcPr>
            <w:tcW w:type="dxa" w:w="72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Net</w:t>
            </w:r>
          </w:p>
        </w:tc>
        <w:tc>
          <w:tcPr>
            <w:tcW w:type="dxa" w:w="8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Cumulative</w:t>
            </w:r>
          </w:p>
        </w:tc>
      </w:tr>
      <w:tr>
        <w:tc>
          <w:tcPr>
            <w:tcW w:type="dxa" w:w="520"/>
            <w:tcMar>
              <w:top w:type="dxa" w:w="50"/>
              <w:left w:type="dxa" w:w="70"/>
              <w:bottom w:type="dxa" w:w="50"/>
              <w:right w:type="dxa" w:w="70"/>
            </w:tcMar>
          </w:tcPr>
          <w:p>
            <w:pPr>
              <w:jc w:val="left"/>
            </w:pPr>
            <w:r>
              <w:rPr>
                <w:rFonts w:ascii="Calibri" w:cs="Calibri" w:eastAsia="Calibri" w:hAnsi="Calibri"/>
                <w:b w:val="false"/>
                <w:bCs w:val="false"/>
                <w:sz w:val="14"/>
                <w:szCs w:val="14"/>
              </w:rPr>
              <w:t xml:space="preserve">1</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500</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80</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40</w:t>
            </w:r>
          </w:p>
        </w:tc>
        <w:tc>
          <w:tcPr>
            <w:tcW w:type="dxa" w:w="9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0, 0</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$49,995</w:t>
            </w:r>
          </w:p>
        </w:tc>
        <w:tc>
          <w:tcPr>
            <w:tcW w:type="dxa" w:w="7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$4,795</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$0</w:t>
            </w:r>
          </w:p>
        </w:tc>
        <w:tc>
          <w:tcPr>
            <w:tcW w:type="dxa" w:w="7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$54,790</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($8,219)</w:t>
            </w:r>
          </w:p>
        </w:tc>
        <w:tc>
          <w:tcPr>
            <w:tcW w:type="dxa" w:w="6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($548)</w:t>
            </w:r>
          </w:p>
        </w:tc>
        <w:tc>
          <w:tcPr>
            <w:tcW w:type="dxa" w:w="6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($2,192)</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($665)</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($6,000)</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($24,800)</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$12,367</w:t>
            </w:r>
          </w:p>
        </w:tc>
        <w:tc>
          <w:tcPr>
            <w:tcW w:type="dxa" w:w="8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$12,367</w:t>
            </w:r>
          </w:p>
        </w:tc>
      </w:tr>
      <w:tr>
        <w:tc>
          <w:tcPr>
            <w:tcW w:type="dxa" w:w="520"/>
            <w:tcMar>
              <w:top w:type="dxa" w:w="50"/>
              <w:left w:type="dxa" w:w="70"/>
              <w:bottom w:type="dxa" w:w="50"/>
              <w:right w:type="dxa" w:w="70"/>
            </w:tcMar>
          </w:tcPr>
          <w:p>
            <w:pPr>
              <w:jc w:val="left"/>
            </w:pPr>
            <w:r>
              <w:rPr>
                <w:rFonts w:ascii="Calibri" w:cs="Calibri" w:eastAsia="Calibri" w:hAnsi="Calibri"/>
                <w:b w:val="false"/>
                <w:bCs w:val="false"/>
                <w:sz w:val="14"/>
                <w:szCs w:val="14"/>
              </w:rPr>
              <w:t xml:space="preserve">2</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1,000</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210</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145</w:t>
            </w:r>
          </w:p>
        </w:tc>
        <w:tc>
          <w:tcPr>
            <w:tcW w:type="dxa" w:w="9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2, 60</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$99,990</w:t>
            </w:r>
          </w:p>
        </w:tc>
        <w:tc>
          <w:tcPr>
            <w:tcW w:type="dxa" w:w="7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$17,383</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$7,499</w:t>
            </w:r>
          </w:p>
        </w:tc>
        <w:tc>
          <w:tcPr>
            <w:tcW w:type="dxa" w:w="7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$124,872</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($17,606)</w:t>
            </w:r>
          </w:p>
        </w:tc>
        <w:tc>
          <w:tcPr>
            <w:tcW w:type="dxa" w:w="6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($1,174)</w:t>
            </w:r>
          </w:p>
        </w:tc>
        <w:tc>
          <w:tcPr>
            <w:tcW w:type="dxa" w:w="6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($4,695)</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($1,282)</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($12,000)</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($26,450)</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$61,666</w:t>
            </w:r>
          </w:p>
        </w:tc>
        <w:tc>
          <w:tcPr>
            <w:tcW w:type="dxa" w:w="8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$74,033</w:t>
            </w:r>
          </w:p>
        </w:tc>
      </w:tr>
      <w:tr>
        <w:tc>
          <w:tcPr>
            <w:tcW w:type="dxa" w:w="520"/>
            <w:tcMar>
              <w:top w:type="dxa" w:w="50"/>
              <w:left w:type="dxa" w:w="70"/>
              <w:bottom w:type="dxa" w:w="50"/>
              <w:right w:type="dxa" w:w="70"/>
            </w:tcMar>
          </w:tcPr>
          <w:p>
            <w:pPr>
              <w:jc w:val="left"/>
            </w:pPr>
            <w:r>
              <w:rPr>
                <w:rFonts w:ascii="Calibri" w:cs="Calibri" w:eastAsia="Calibri" w:hAnsi="Calibri"/>
                <w:b w:val="false"/>
                <w:bCs w:val="false"/>
                <w:sz w:val="14"/>
                <w:szCs w:val="14"/>
              </w:rPr>
              <w:t xml:space="preserve">3</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1,400</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360</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285</w:t>
            </w:r>
          </w:p>
        </w:tc>
        <w:tc>
          <w:tcPr>
            <w:tcW w:type="dxa" w:w="9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4, 120</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$139,986</w:t>
            </w:r>
          </w:p>
        </w:tc>
        <w:tc>
          <w:tcPr>
            <w:tcW w:type="dxa" w:w="7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$34,166</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$14,999</w:t>
            </w:r>
          </w:p>
        </w:tc>
        <w:tc>
          <w:tcPr>
            <w:tcW w:type="dxa" w:w="7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$189,151</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($26,123)</w:t>
            </w:r>
          </w:p>
        </w:tc>
        <w:tc>
          <w:tcPr>
            <w:tcW w:type="dxa" w:w="6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($1,742)</w:t>
            </w:r>
          </w:p>
        </w:tc>
        <w:tc>
          <w:tcPr>
            <w:tcW w:type="dxa" w:w="6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($6,966)</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($2,149)</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($16,800)</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($34,120)</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$101,251</w:t>
            </w:r>
          </w:p>
        </w:tc>
        <w:tc>
          <w:tcPr>
            <w:tcW w:type="dxa" w:w="8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$175,284</w:t>
            </w:r>
          </w:p>
        </w:tc>
      </w:tr>
      <w:tr>
        <w:tc>
          <w:tcPr>
            <w:tcW w:type="dxa" w:w="520"/>
            <w:tcMar>
              <w:top w:type="dxa" w:w="50"/>
              <w:left w:type="dxa" w:w="70"/>
              <w:bottom w:type="dxa" w:w="50"/>
              <w:right w:type="dxa" w:w="70"/>
            </w:tcMar>
          </w:tcPr>
          <w:p>
            <w:pPr>
              <w:jc w:val="left"/>
            </w:pPr>
            <w:r>
              <w:rPr>
                <w:rFonts w:ascii="Calibri" w:cs="Calibri" w:eastAsia="Calibri" w:hAnsi="Calibri"/>
                <w:b w:val="false"/>
                <w:bCs w:val="false"/>
                <w:sz w:val="14"/>
                <w:szCs w:val="14"/>
              </w:rPr>
              <w:t xml:space="preserve">4</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1,650</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500</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430</w:t>
            </w:r>
          </w:p>
        </w:tc>
        <w:tc>
          <w:tcPr>
            <w:tcW w:type="dxa" w:w="9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7, 210</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$164,984</w:t>
            </w:r>
          </w:p>
        </w:tc>
        <w:tc>
          <w:tcPr>
            <w:tcW w:type="dxa" w:w="7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$51,548</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$26,248</w:t>
            </w:r>
          </w:p>
        </w:tc>
        <w:tc>
          <w:tcPr>
            <w:tcW w:type="dxa" w:w="7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$242,780</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($32,480)</w:t>
            </w:r>
          </w:p>
        </w:tc>
        <w:tc>
          <w:tcPr>
            <w:tcW w:type="dxa" w:w="6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($2,165)</w:t>
            </w:r>
          </w:p>
        </w:tc>
        <w:tc>
          <w:tcPr>
            <w:tcW w:type="dxa" w:w="6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($8,661)</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($3,038)</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($19,800)</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($41,200)</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$135,435</w:t>
            </w:r>
          </w:p>
        </w:tc>
        <w:tc>
          <w:tcPr>
            <w:tcW w:type="dxa" w:w="8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$310,719</w:t>
            </w:r>
          </w:p>
        </w:tc>
      </w:tr>
      <w:tr>
        <w:tc>
          <w:tcPr>
            <w:tcW w:type="dxa" w:w="520"/>
            <w:tcMar>
              <w:top w:type="dxa" w:w="50"/>
              <w:left w:type="dxa" w:w="70"/>
              <w:bottom w:type="dxa" w:w="50"/>
              <w:right w:type="dxa" w:w="70"/>
            </w:tcMar>
          </w:tcPr>
          <w:p>
            <w:pPr>
              <w:jc w:val="left"/>
            </w:pPr>
            <w:r>
              <w:rPr>
                <w:rFonts w:ascii="Calibri" w:cs="Calibri" w:eastAsia="Calibri" w:hAnsi="Calibri"/>
                <w:b w:val="false"/>
                <w:bCs w:val="false"/>
                <w:sz w:val="14"/>
                <w:szCs w:val="14"/>
              </w:rPr>
              <w:t xml:space="preserve">5</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1,800</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620</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560</w:t>
            </w:r>
          </w:p>
        </w:tc>
        <w:tc>
          <w:tcPr>
            <w:tcW w:type="dxa" w:w="9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10, 300</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$179,982</w:t>
            </w:r>
          </w:p>
        </w:tc>
        <w:tc>
          <w:tcPr>
            <w:tcW w:type="dxa" w:w="7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$67,133</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$37,497</w:t>
            </w:r>
          </w:p>
        </w:tc>
        <w:tc>
          <w:tcPr>
            <w:tcW w:type="dxa" w:w="7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$284,612</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($37,067)</w:t>
            </w:r>
          </w:p>
        </w:tc>
        <w:tc>
          <w:tcPr>
            <w:tcW w:type="dxa" w:w="6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($2,471)</w:t>
            </w:r>
          </w:p>
        </w:tc>
        <w:tc>
          <w:tcPr>
            <w:tcW w:type="dxa" w:w="6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($9,885)</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($3,832)</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($21,600)</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($45,073)</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$164,684</w:t>
            </w:r>
          </w:p>
        </w:tc>
        <w:tc>
          <w:tcPr>
            <w:tcW w:type="dxa" w:w="8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$475,403</w:t>
            </w:r>
          </w:p>
        </w:tc>
      </w:tr>
    </w:tbl>
    <w:p>
      <w:pPr>
        <w:spacing w:after="120"/>
      </w:pPr>
      <w:r>
        <w:rPr>
          <w:rFonts w:ascii="Calibri" w:cs="Calibri" w:eastAsia="Calibri" w:hAnsi="Calibri"/>
          <w:sz w:val="22"/>
          <w:szCs w:val="22"/>
        </w:rPr>
        <w:t xml:space="preserve"/>
      </w:r>
    </w:p>
    <w:p>
      <w:pPr>
        <w:pStyle w:val="Heading2"/>
        <w:spacing w:after="100" w:before="240"/>
      </w:pPr>
      <w:r>
        <w:rPr>
          <w:rFonts w:ascii="Calibri" w:cs="Calibri" w:eastAsia="Calibri" w:hAnsi="Calibri"/>
        </w:rPr>
        <w:t xml:space="preserve">Mid case: five-year net $1,513,333, 16,300 buyers, 1,600 subscribers at the end of Year 5</w:t>
      </w:r>
    </w:p>
    <w:tbl>
      <w:tblPr>
        <w:tblW w:type="dxa" w:w="11660"/>
        <w:tblBorders>
          <w:top w:val="single" w:color="auto" w:sz="4"/>
          <w:left w:val="single" w:color="auto" w:sz="4"/>
          <w:bottom w:val="single" w:color="auto" w:sz="4"/>
          <w:right w:val="single" w:color="auto" w:sz="4"/>
          <w:insideH w:val="single" w:color="auto" w:sz="4"/>
          <w:insideV w:val="single" w:color="auto" w:sz="4"/>
        </w:tblBorders>
      </w:tblPr>
      <w:tblGrid>
        <w:gridCol w:w="520"/>
        <w:gridCol w:w="560"/>
        <w:gridCol w:w="560"/>
        <w:gridCol w:w="560"/>
        <w:gridCol w:w="900"/>
        <w:gridCol w:w="720"/>
        <w:gridCol w:w="760"/>
        <w:gridCol w:w="720"/>
        <w:gridCol w:w="760"/>
        <w:gridCol w:w="700"/>
        <w:gridCol w:w="660"/>
        <w:gridCol w:w="620"/>
        <w:gridCol w:w="700"/>
        <w:gridCol w:w="700"/>
        <w:gridCol w:w="700"/>
        <w:gridCol w:w="720"/>
        <w:gridCol w:w="800"/>
      </w:tblGrid>
      <w:tr>
        <w:tc>
          <w:tcPr>
            <w:tcW w:type="dxa" w:w="52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Year</w:t>
            </w:r>
          </w:p>
        </w:tc>
        <w:tc>
          <w:tcPr>
            <w:tcW w:type="dxa" w:w="56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Buyers</w:t>
            </w:r>
          </w:p>
        </w:tc>
        <w:tc>
          <w:tcPr>
            <w:tcW w:type="dxa" w:w="56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Subs, end</w:t>
            </w:r>
          </w:p>
        </w:tc>
        <w:tc>
          <w:tcPr>
            <w:tcW w:type="dxa" w:w="56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Subs, avg</w:t>
            </w:r>
          </w:p>
        </w:tc>
        <w:tc>
          <w:tcPr>
            <w:tcW w:type="dxa" w:w="9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Districts, seats (clinics)</w:t>
            </w:r>
          </w:p>
        </w:tc>
        <w:tc>
          <w:tcPr>
            <w:tcW w:type="dxa" w:w="72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Talker</w:t>
            </w:r>
          </w:p>
        </w:tc>
        <w:tc>
          <w:tcPr>
            <w:tcW w:type="dxa" w:w="76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Family Tether</w:t>
            </w:r>
          </w:p>
        </w:tc>
        <w:tc>
          <w:tcPr>
            <w:tcW w:type="dxa" w:w="72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Schools</w:t>
            </w:r>
          </w:p>
        </w:tc>
        <w:tc>
          <w:tcPr>
            <w:tcW w:type="dxa" w:w="76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Gross</w:t>
            </w:r>
          </w:p>
        </w:tc>
        <w:tc>
          <w:tcPr>
            <w:tcW w:type="dxa" w:w="7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Store fees</w:t>
            </w:r>
          </w:p>
        </w:tc>
        <w:tc>
          <w:tcPr>
            <w:tcW w:type="dxa" w:w="66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RevenueCat</w:t>
            </w:r>
          </w:p>
        </w:tc>
        <w:tc>
          <w:tcPr>
            <w:tcW w:type="dxa" w:w="62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Refunds</w:t>
            </w:r>
          </w:p>
        </w:tc>
        <w:tc>
          <w:tcPr>
            <w:tcW w:type="dxa" w:w="7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Cloud, fixed</w:t>
            </w:r>
          </w:p>
        </w:tc>
        <w:tc>
          <w:tcPr>
            <w:tcW w:type="dxa" w:w="7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Acquisition</w:t>
            </w:r>
          </w:p>
        </w:tc>
        <w:tc>
          <w:tcPr>
            <w:tcW w:type="dxa" w:w="7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Operating</w:t>
            </w:r>
          </w:p>
        </w:tc>
        <w:tc>
          <w:tcPr>
            <w:tcW w:type="dxa" w:w="72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Net</w:t>
            </w:r>
          </w:p>
        </w:tc>
        <w:tc>
          <w:tcPr>
            <w:tcW w:type="dxa" w:w="8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Cumulative</w:t>
            </w:r>
          </w:p>
        </w:tc>
      </w:tr>
      <w:tr>
        <w:tc>
          <w:tcPr>
            <w:tcW w:type="dxa" w:w="520"/>
            <w:tcMar>
              <w:top w:type="dxa" w:w="50"/>
              <w:left w:type="dxa" w:w="70"/>
              <w:bottom w:type="dxa" w:w="50"/>
              <w:right w:type="dxa" w:w="70"/>
            </w:tcMar>
          </w:tcPr>
          <w:p>
            <w:pPr>
              <w:jc w:val="left"/>
            </w:pPr>
            <w:r>
              <w:rPr>
                <w:rFonts w:ascii="Calibri" w:cs="Calibri" w:eastAsia="Calibri" w:hAnsi="Calibri"/>
                <w:b w:val="false"/>
                <w:bCs w:val="false"/>
                <w:sz w:val="14"/>
                <w:szCs w:val="14"/>
              </w:rPr>
              <w:t xml:space="preserve">1</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1,300</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210</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105</w:t>
            </w:r>
          </w:p>
        </w:tc>
        <w:tc>
          <w:tcPr>
            <w:tcW w:type="dxa" w:w="9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0, 0</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$129,987</w:t>
            </w:r>
          </w:p>
        </w:tc>
        <w:tc>
          <w:tcPr>
            <w:tcW w:type="dxa" w:w="7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$12,587</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$0</w:t>
            </w:r>
          </w:p>
        </w:tc>
        <w:tc>
          <w:tcPr>
            <w:tcW w:type="dxa" w:w="7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$142,574</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($21,386)</w:t>
            </w:r>
          </w:p>
        </w:tc>
        <w:tc>
          <w:tcPr>
            <w:tcW w:type="dxa" w:w="6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($1,426)</w:t>
            </w:r>
          </w:p>
        </w:tc>
        <w:tc>
          <w:tcPr>
            <w:tcW w:type="dxa" w:w="6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($5,703)</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($1,100)</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($15,600)</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($32,500)</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$64,859</w:t>
            </w:r>
          </w:p>
        </w:tc>
        <w:tc>
          <w:tcPr>
            <w:tcW w:type="dxa" w:w="8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$64,859</w:t>
            </w:r>
          </w:p>
        </w:tc>
      </w:tr>
      <w:tr>
        <w:tc>
          <w:tcPr>
            <w:tcW w:type="dxa" w:w="520"/>
            <w:tcMar>
              <w:top w:type="dxa" w:w="50"/>
              <w:left w:type="dxa" w:w="70"/>
              <w:bottom w:type="dxa" w:w="50"/>
              <w:right w:type="dxa" w:w="70"/>
            </w:tcMar>
          </w:tcPr>
          <w:p>
            <w:pPr>
              <w:jc w:val="left"/>
            </w:pPr>
            <w:r>
              <w:rPr>
                <w:rFonts w:ascii="Calibri" w:cs="Calibri" w:eastAsia="Calibri" w:hAnsi="Calibri"/>
                <w:b w:val="false"/>
                <w:bCs w:val="false"/>
                <w:sz w:val="14"/>
                <w:szCs w:val="14"/>
              </w:rPr>
              <w:t xml:space="preserve">2</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2,600</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560</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385</w:t>
            </w:r>
          </w:p>
        </w:tc>
        <w:tc>
          <w:tcPr>
            <w:tcW w:type="dxa" w:w="9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3, 150</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$259,974</w:t>
            </w:r>
          </w:p>
        </w:tc>
        <w:tc>
          <w:tcPr>
            <w:tcW w:type="dxa" w:w="7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$46,154</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$18,749</w:t>
            </w:r>
          </w:p>
        </w:tc>
        <w:tc>
          <w:tcPr>
            <w:tcW w:type="dxa" w:w="7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$324,876</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($45,919)</w:t>
            </w:r>
          </w:p>
        </w:tc>
        <w:tc>
          <w:tcPr>
            <w:tcW w:type="dxa" w:w="6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($3,061)</w:t>
            </w:r>
          </w:p>
        </w:tc>
        <w:tc>
          <w:tcPr>
            <w:tcW w:type="dxa" w:w="6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($12,245)</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($2,817)</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($31,200)</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($42,800)</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$186,834</w:t>
            </w:r>
          </w:p>
        </w:tc>
        <w:tc>
          <w:tcPr>
            <w:tcW w:type="dxa" w:w="8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$251,693</w:t>
            </w:r>
          </w:p>
        </w:tc>
      </w:tr>
      <w:tr>
        <w:tc>
          <w:tcPr>
            <w:tcW w:type="dxa" w:w="520"/>
            <w:tcMar>
              <w:top w:type="dxa" w:w="50"/>
              <w:left w:type="dxa" w:w="70"/>
              <w:bottom w:type="dxa" w:w="50"/>
              <w:right w:type="dxa" w:w="70"/>
            </w:tcMar>
          </w:tcPr>
          <w:p>
            <w:pPr>
              <w:jc w:val="left"/>
            </w:pPr>
            <w:r>
              <w:rPr>
                <w:rFonts w:ascii="Calibri" w:cs="Calibri" w:eastAsia="Calibri" w:hAnsi="Calibri"/>
                <w:b w:val="false"/>
                <w:bCs w:val="false"/>
                <w:sz w:val="14"/>
                <w:szCs w:val="14"/>
              </w:rPr>
              <w:t xml:space="preserve">3</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3,600</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950</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755</w:t>
            </w:r>
          </w:p>
        </w:tc>
        <w:tc>
          <w:tcPr>
            <w:tcW w:type="dxa" w:w="9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8, 400</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$359,964</w:t>
            </w:r>
          </w:p>
        </w:tc>
        <w:tc>
          <w:tcPr>
            <w:tcW w:type="dxa" w:w="7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$90,509</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$49,996</w:t>
            </w:r>
          </w:p>
        </w:tc>
        <w:tc>
          <w:tcPr>
            <w:tcW w:type="dxa" w:w="7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$500,469</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($67,571)</w:t>
            </w:r>
          </w:p>
        </w:tc>
        <w:tc>
          <w:tcPr>
            <w:tcW w:type="dxa" w:w="6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($4,505)</w:t>
            </w:r>
          </w:p>
        </w:tc>
        <w:tc>
          <w:tcPr>
            <w:tcW w:type="dxa" w:w="6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($18,019)</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($5,105)</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($43,200)</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($57,200)</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$304,869</w:t>
            </w:r>
          </w:p>
        </w:tc>
        <w:tc>
          <w:tcPr>
            <w:tcW w:type="dxa" w:w="8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$556,562</w:t>
            </w:r>
          </w:p>
        </w:tc>
      </w:tr>
      <w:tr>
        <w:tc>
          <w:tcPr>
            <w:tcW w:type="dxa" w:w="520"/>
            <w:tcMar>
              <w:top w:type="dxa" w:w="50"/>
              <w:left w:type="dxa" w:w="70"/>
              <w:bottom w:type="dxa" w:w="50"/>
              <w:right w:type="dxa" w:w="70"/>
            </w:tcMar>
          </w:tcPr>
          <w:p>
            <w:pPr>
              <w:jc w:val="left"/>
            </w:pPr>
            <w:r>
              <w:rPr>
                <w:rFonts w:ascii="Calibri" w:cs="Calibri" w:eastAsia="Calibri" w:hAnsi="Calibri"/>
                <w:b w:val="false"/>
                <w:bCs w:val="false"/>
                <w:sz w:val="14"/>
                <w:szCs w:val="14"/>
              </w:rPr>
              <w:t xml:space="preserve">4</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4,200</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1,310</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1,130</w:t>
            </w:r>
          </w:p>
        </w:tc>
        <w:tc>
          <w:tcPr>
            <w:tcW w:type="dxa" w:w="9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16, 800</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$419,958</w:t>
            </w:r>
          </w:p>
        </w:tc>
        <w:tc>
          <w:tcPr>
            <w:tcW w:type="dxa" w:w="7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$135,464</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$99,992</w:t>
            </w:r>
          </w:p>
        </w:tc>
        <w:tc>
          <w:tcPr>
            <w:tcW w:type="dxa" w:w="7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$655,414</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($83,313)</w:t>
            </w:r>
          </w:p>
        </w:tc>
        <w:tc>
          <w:tcPr>
            <w:tcW w:type="dxa" w:w="6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($5,554)</w:t>
            </w:r>
          </w:p>
        </w:tc>
        <w:tc>
          <w:tcPr>
            <w:tcW w:type="dxa" w:w="6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($22,217)</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($7,403)</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($50,400)</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($68,450)</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$418,077</w:t>
            </w:r>
          </w:p>
        </w:tc>
        <w:tc>
          <w:tcPr>
            <w:tcW w:type="dxa" w:w="8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$974,639</w:t>
            </w:r>
          </w:p>
        </w:tc>
      </w:tr>
      <w:tr>
        <w:tc>
          <w:tcPr>
            <w:tcW w:type="dxa" w:w="520"/>
            <w:tcMar>
              <w:top w:type="dxa" w:w="50"/>
              <w:left w:type="dxa" w:w="70"/>
              <w:bottom w:type="dxa" w:w="50"/>
              <w:right w:type="dxa" w:w="70"/>
            </w:tcMar>
          </w:tcPr>
          <w:p>
            <w:pPr>
              <w:jc w:val="left"/>
            </w:pPr>
            <w:r>
              <w:rPr>
                <w:rFonts w:ascii="Calibri" w:cs="Calibri" w:eastAsia="Calibri" w:hAnsi="Calibri"/>
                <w:b w:val="false"/>
                <w:bCs w:val="false"/>
                <w:sz w:val="14"/>
                <w:szCs w:val="14"/>
              </w:rPr>
              <w:t xml:space="preserve">5</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4,600</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1,600</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1,455</w:t>
            </w:r>
          </w:p>
        </w:tc>
        <w:tc>
          <w:tcPr>
            <w:tcW w:type="dxa" w:w="9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28, 1,400</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$459,954</w:t>
            </w:r>
          </w:p>
        </w:tc>
        <w:tc>
          <w:tcPr>
            <w:tcW w:type="dxa" w:w="7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$174,425</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$174,986</w:t>
            </w:r>
          </w:p>
        </w:tc>
        <w:tc>
          <w:tcPr>
            <w:tcW w:type="dxa" w:w="7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$809,365</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($95,157)</w:t>
            </w:r>
          </w:p>
        </w:tc>
        <w:tc>
          <w:tcPr>
            <w:tcW w:type="dxa" w:w="6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($6,344)</w:t>
            </w:r>
          </w:p>
        </w:tc>
        <w:tc>
          <w:tcPr>
            <w:tcW w:type="dxa" w:w="6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($25,375)</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($9,387)</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($55,200)</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($79,208)</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$538,694</w:t>
            </w:r>
          </w:p>
        </w:tc>
        <w:tc>
          <w:tcPr>
            <w:tcW w:type="dxa" w:w="8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$1,513,333</w:t>
            </w:r>
          </w:p>
        </w:tc>
      </w:tr>
    </w:tbl>
    <w:p>
      <w:pPr>
        <w:spacing w:after="120"/>
      </w:pPr>
      <w:r>
        <w:rPr>
          <w:rFonts w:ascii="Calibri" w:cs="Calibri" w:eastAsia="Calibri" w:hAnsi="Calibri"/>
          <w:sz w:val="22"/>
          <w:szCs w:val="22"/>
        </w:rPr>
        <w:t xml:space="preserve"/>
      </w:r>
    </w:p>
    <w:p>
      <w:pPr>
        <w:pStyle w:val="Heading2"/>
        <w:spacing w:after="100" w:before="240"/>
      </w:pPr>
      <w:r>
        <w:rPr>
          <w:rFonts w:ascii="Calibri" w:cs="Calibri" w:eastAsia="Calibri" w:hAnsi="Calibri"/>
        </w:rPr>
        <w:t xml:space="preserve">Ceiling case: five-year net $5,217,785, 40,100 buyers, 3,950 subscribers at the end of Year 5</w:t>
      </w:r>
    </w:p>
    <w:tbl>
      <w:tblPr>
        <w:tblW w:type="dxa" w:w="11660"/>
        <w:tblBorders>
          <w:top w:val="single" w:color="auto" w:sz="4"/>
          <w:left w:val="single" w:color="auto" w:sz="4"/>
          <w:bottom w:val="single" w:color="auto" w:sz="4"/>
          <w:right w:val="single" w:color="auto" w:sz="4"/>
          <w:insideH w:val="single" w:color="auto" w:sz="4"/>
          <w:insideV w:val="single" w:color="auto" w:sz="4"/>
        </w:tblBorders>
      </w:tblPr>
      <w:tblGrid>
        <w:gridCol w:w="520"/>
        <w:gridCol w:w="560"/>
        <w:gridCol w:w="560"/>
        <w:gridCol w:w="560"/>
        <w:gridCol w:w="900"/>
        <w:gridCol w:w="720"/>
        <w:gridCol w:w="760"/>
        <w:gridCol w:w="720"/>
        <w:gridCol w:w="760"/>
        <w:gridCol w:w="700"/>
        <w:gridCol w:w="660"/>
        <w:gridCol w:w="620"/>
        <w:gridCol w:w="700"/>
        <w:gridCol w:w="700"/>
        <w:gridCol w:w="700"/>
        <w:gridCol w:w="720"/>
        <w:gridCol w:w="800"/>
      </w:tblGrid>
      <w:tr>
        <w:tc>
          <w:tcPr>
            <w:tcW w:type="dxa" w:w="52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Year</w:t>
            </w:r>
          </w:p>
        </w:tc>
        <w:tc>
          <w:tcPr>
            <w:tcW w:type="dxa" w:w="56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Buyers</w:t>
            </w:r>
          </w:p>
        </w:tc>
        <w:tc>
          <w:tcPr>
            <w:tcW w:type="dxa" w:w="56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Subs, end</w:t>
            </w:r>
          </w:p>
        </w:tc>
        <w:tc>
          <w:tcPr>
            <w:tcW w:type="dxa" w:w="56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Subs, avg</w:t>
            </w:r>
          </w:p>
        </w:tc>
        <w:tc>
          <w:tcPr>
            <w:tcW w:type="dxa" w:w="9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Districts, seats (clinics)</w:t>
            </w:r>
          </w:p>
        </w:tc>
        <w:tc>
          <w:tcPr>
            <w:tcW w:type="dxa" w:w="72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Talker</w:t>
            </w:r>
          </w:p>
        </w:tc>
        <w:tc>
          <w:tcPr>
            <w:tcW w:type="dxa" w:w="76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Family Tether</w:t>
            </w:r>
          </w:p>
        </w:tc>
        <w:tc>
          <w:tcPr>
            <w:tcW w:type="dxa" w:w="72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Schools</w:t>
            </w:r>
          </w:p>
        </w:tc>
        <w:tc>
          <w:tcPr>
            <w:tcW w:type="dxa" w:w="76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Gross</w:t>
            </w:r>
          </w:p>
        </w:tc>
        <w:tc>
          <w:tcPr>
            <w:tcW w:type="dxa" w:w="7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Store fees</w:t>
            </w:r>
          </w:p>
        </w:tc>
        <w:tc>
          <w:tcPr>
            <w:tcW w:type="dxa" w:w="66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RevenueCat</w:t>
            </w:r>
          </w:p>
        </w:tc>
        <w:tc>
          <w:tcPr>
            <w:tcW w:type="dxa" w:w="62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Refunds</w:t>
            </w:r>
          </w:p>
        </w:tc>
        <w:tc>
          <w:tcPr>
            <w:tcW w:type="dxa" w:w="7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Cloud, fixed</w:t>
            </w:r>
          </w:p>
        </w:tc>
        <w:tc>
          <w:tcPr>
            <w:tcW w:type="dxa" w:w="7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Acquisition</w:t>
            </w:r>
          </w:p>
        </w:tc>
        <w:tc>
          <w:tcPr>
            <w:tcW w:type="dxa" w:w="7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Operating</w:t>
            </w:r>
          </w:p>
        </w:tc>
        <w:tc>
          <w:tcPr>
            <w:tcW w:type="dxa" w:w="72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Net</w:t>
            </w:r>
          </w:p>
        </w:tc>
        <w:tc>
          <w:tcPr>
            <w:tcW w:type="dxa" w:w="8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Cumulative</w:t>
            </w:r>
          </w:p>
        </w:tc>
      </w:tr>
      <w:tr>
        <w:tc>
          <w:tcPr>
            <w:tcW w:type="dxa" w:w="520"/>
            <w:tcMar>
              <w:top w:type="dxa" w:w="50"/>
              <w:left w:type="dxa" w:w="70"/>
              <w:bottom w:type="dxa" w:w="50"/>
              <w:right w:type="dxa" w:w="70"/>
            </w:tcMar>
          </w:tcPr>
          <w:p>
            <w:pPr>
              <w:jc w:val="left"/>
            </w:pPr>
            <w:r>
              <w:rPr>
                <w:rFonts w:ascii="Calibri" w:cs="Calibri" w:eastAsia="Calibri" w:hAnsi="Calibri"/>
                <w:b w:val="false"/>
                <w:bCs w:val="false"/>
                <w:sz w:val="14"/>
                <w:szCs w:val="14"/>
              </w:rPr>
              <w:t xml:space="preserve">1</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3,200</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510</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255</w:t>
            </w:r>
          </w:p>
        </w:tc>
        <w:tc>
          <w:tcPr>
            <w:tcW w:type="dxa" w:w="9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0, 0</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$319,968</w:t>
            </w:r>
          </w:p>
        </w:tc>
        <w:tc>
          <w:tcPr>
            <w:tcW w:type="dxa" w:w="7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$30,569</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$0</w:t>
            </w:r>
          </w:p>
        </w:tc>
        <w:tc>
          <w:tcPr>
            <w:tcW w:type="dxa" w:w="7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$350,537</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($52,581)</w:t>
            </w:r>
          </w:p>
        </w:tc>
        <w:tc>
          <w:tcPr>
            <w:tcW w:type="dxa" w:w="6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($3,505)</w:t>
            </w:r>
          </w:p>
        </w:tc>
        <w:tc>
          <w:tcPr>
            <w:tcW w:type="dxa" w:w="6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($14,021)</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($2,108)</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($38,400)</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($52,100)</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$187,822</w:t>
            </w:r>
          </w:p>
        </w:tc>
        <w:tc>
          <w:tcPr>
            <w:tcW w:type="dxa" w:w="8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$187,822</w:t>
            </w:r>
          </w:p>
        </w:tc>
      </w:tr>
      <w:tr>
        <w:tc>
          <w:tcPr>
            <w:tcW w:type="dxa" w:w="520"/>
            <w:tcMar>
              <w:top w:type="dxa" w:w="50"/>
              <w:left w:type="dxa" w:w="70"/>
              <w:bottom w:type="dxa" w:w="50"/>
              <w:right w:type="dxa" w:w="70"/>
            </w:tcMar>
          </w:tcPr>
          <w:p>
            <w:pPr>
              <w:jc w:val="left"/>
            </w:pPr>
            <w:r>
              <w:rPr>
                <w:rFonts w:ascii="Calibri" w:cs="Calibri" w:eastAsia="Calibri" w:hAnsi="Calibri"/>
                <w:b w:val="false"/>
                <w:bCs w:val="false"/>
                <w:sz w:val="14"/>
                <w:szCs w:val="14"/>
              </w:rPr>
              <w:t xml:space="preserve">2</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6,400</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1,380</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945</w:t>
            </w:r>
          </w:p>
        </w:tc>
        <w:tc>
          <w:tcPr>
            <w:tcW w:type="dxa" w:w="9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10, 500</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$639,936</w:t>
            </w:r>
          </w:p>
        </w:tc>
        <w:tc>
          <w:tcPr>
            <w:tcW w:type="dxa" w:w="7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$113,287</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$62,495</w:t>
            </w:r>
          </w:p>
        </w:tc>
        <w:tc>
          <w:tcPr>
            <w:tcW w:type="dxa" w:w="7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$815,718</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($112,983)</w:t>
            </w:r>
          </w:p>
        </w:tc>
        <w:tc>
          <w:tcPr>
            <w:tcW w:type="dxa" w:w="6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($7,532)</w:t>
            </w:r>
          </w:p>
        </w:tc>
        <w:tc>
          <w:tcPr>
            <w:tcW w:type="dxa" w:w="6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($30,129)</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($6,402)</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($76,800)</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($81,400)</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$500,471</w:t>
            </w:r>
          </w:p>
        </w:tc>
        <w:tc>
          <w:tcPr>
            <w:tcW w:type="dxa" w:w="8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$688,293</w:t>
            </w:r>
          </w:p>
        </w:tc>
      </w:tr>
      <w:tr>
        <w:tc>
          <w:tcPr>
            <w:tcW w:type="dxa" w:w="520"/>
            <w:tcMar>
              <w:top w:type="dxa" w:w="50"/>
              <w:left w:type="dxa" w:w="70"/>
              <w:bottom w:type="dxa" w:w="50"/>
              <w:right w:type="dxa" w:w="70"/>
            </w:tcMar>
          </w:tcPr>
          <w:p>
            <w:pPr>
              <w:jc w:val="left"/>
            </w:pPr>
            <w:r>
              <w:rPr>
                <w:rFonts w:ascii="Calibri" w:cs="Calibri" w:eastAsia="Calibri" w:hAnsi="Calibri"/>
                <w:b w:val="false"/>
                <w:bCs w:val="false"/>
                <w:sz w:val="14"/>
                <w:szCs w:val="14"/>
              </w:rPr>
              <w:t xml:space="preserve">3</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8,800</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2,350</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1,865</w:t>
            </w:r>
          </w:p>
        </w:tc>
        <w:tc>
          <w:tcPr>
            <w:tcW w:type="dxa" w:w="9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40, 2,000</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$879,912</w:t>
            </w:r>
          </w:p>
        </w:tc>
        <w:tc>
          <w:tcPr>
            <w:tcW w:type="dxa" w:w="7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$223,576</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$249,980</w:t>
            </w:r>
          </w:p>
        </w:tc>
        <w:tc>
          <w:tcPr>
            <w:tcW w:type="dxa" w:w="7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$1,353,468</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($165,523)</w:t>
            </w:r>
          </w:p>
        </w:tc>
        <w:tc>
          <w:tcPr>
            <w:tcW w:type="dxa" w:w="6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($11,035)</w:t>
            </w:r>
          </w:p>
        </w:tc>
        <w:tc>
          <w:tcPr>
            <w:tcW w:type="dxa" w:w="6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($44,140)</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($12,088)</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($105,600)</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($112,600)</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$902,483</w:t>
            </w:r>
          </w:p>
        </w:tc>
        <w:tc>
          <w:tcPr>
            <w:tcW w:type="dxa" w:w="8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$1,590,776</w:t>
            </w:r>
          </w:p>
        </w:tc>
      </w:tr>
      <w:tr>
        <w:tc>
          <w:tcPr>
            <w:tcW w:type="dxa" w:w="520"/>
            <w:tcMar>
              <w:top w:type="dxa" w:w="50"/>
              <w:left w:type="dxa" w:w="70"/>
              <w:bottom w:type="dxa" w:w="50"/>
              <w:right w:type="dxa" w:w="70"/>
            </w:tcMar>
          </w:tcPr>
          <w:p>
            <w:pPr>
              <w:jc w:val="left"/>
            </w:pPr>
            <w:r>
              <w:rPr>
                <w:rFonts w:ascii="Calibri" w:cs="Calibri" w:eastAsia="Calibri" w:hAnsi="Calibri"/>
                <w:b w:val="false"/>
                <w:bCs w:val="false"/>
                <w:sz w:val="14"/>
                <w:szCs w:val="14"/>
              </w:rPr>
              <w:t xml:space="preserve">4</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10,500</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3,250</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2,800</w:t>
            </w:r>
          </w:p>
        </w:tc>
        <w:tc>
          <w:tcPr>
            <w:tcW w:type="dxa" w:w="9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100, 5,000</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$1,049,895</w:t>
            </w:r>
          </w:p>
        </w:tc>
        <w:tc>
          <w:tcPr>
            <w:tcW w:type="dxa" w:w="7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$335,664</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$624,950</w:t>
            </w:r>
          </w:p>
        </w:tc>
        <w:tc>
          <w:tcPr>
            <w:tcW w:type="dxa" w:w="7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$2,010,509</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($207,834)</w:t>
            </w:r>
          </w:p>
        </w:tc>
        <w:tc>
          <w:tcPr>
            <w:tcW w:type="dxa" w:w="6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($13,856)</w:t>
            </w:r>
          </w:p>
        </w:tc>
        <w:tc>
          <w:tcPr>
            <w:tcW w:type="dxa" w:w="6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($55,422)</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($17,827)</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($126,000)</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($138,900)</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$1,450,670</w:t>
            </w:r>
          </w:p>
        </w:tc>
        <w:tc>
          <w:tcPr>
            <w:tcW w:type="dxa" w:w="8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$3,041,446</w:t>
            </w:r>
          </w:p>
        </w:tc>
      </w:tr>
      <w:tr>
        <w:tc>
          <w:tcPr>
            <w:tcW w:type="dxa" w:w="520"/>
            <w:tcMar>
              <w:top w:type="dxa" w:w="50"/>
              <w:left w:type="dxa" w:w="70"/>
              <w:bottom w:type="dxa" w:w="50"/>
              <w:right w:type="dxa" w:w="70"/>
            </w:tcMar>
          </w:tcPr>
          <w:p>
            <w:pPr>
              <w:jc w:val="left"/>
            </w:pPr>
            <w:r>
              <w:rPr>
                <w:rFonts w:ascii="Calibri" w:cs="Calibri" w:eastAsia="Calibri" w:hAnsi="Calibri"/>
                <w:b w:val="false"/>
                <w:bCs w:val="false"/>
                <w:sz w:val="14"/>
                <w:szCs w:val="14"/>
              </w:rPr>
              <w:t xml:space="preserve">5</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11,200</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3,950</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3,600</w:t>
            </w:r>
          </w:p>
        </w:tc>
        <w:tc>
          <w:tcPr>
            <w:tcW w:type="dxa" w:w="9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200, 10,000</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$1,119,888</w:t>
            </w:r>
          </w:p>
        </w:tc>
        <w:tc>
          <w:tcPr>
            <w:tcW w:type="dxa" w:w="7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$431,568</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$1,249,900</w:t>
            </w:r>
          </w:p>
        </w:tc>
        <w:tc>
          <w:tcPr>
            <w:tcW w:type="dxa" w:w="7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$2,801,356</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($232,718)</w:t>
            </w:r>
          </w:p>
        </w:tc>
        <w:tc>
          <w:tcPr>
            <w:tcW w:type="dxa" w:w="6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($15,515)</w:t>
            </w:r>
          </w:p>
        </w:tc>
        <w:tc>
          <w:tcPr>
            <w:tcW w:type="dxa" w:w="6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($62,058)</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($22,697)</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($134,400)</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($157,629)</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$2,176,339</w:t>
            </w:r>
          </w:p>
        </w:tc>
        <w:tc>
          <w:tcPr>
            <w:tcW w:type="dxa" w:w="8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$5,217,785</w:t>
            </w:r>
          </w:p>
        </w:tc>
      </w:tr>
    </w:tbl>
    <w:p>
      <w:pPr>
        <w:spacing w:after="120"/>
      </w:pPr>
      <w:r>
        <w:rPr>
          <w:rFonts w:ascii="Calibri" w:cs="Calibri" w:eastAsia="Calibri" w:hAnsi="Calibri"/>
          <w:sz w:val="22"/>
          <w:szCs w:val="22"/>
        </w:rPr>
        <w:t xml:space="preserve"/>
      </w:r>
    </w:p>
    <w:p>
      <w:pPr>
        <w:pStyle w:val="Heading2"/>
        <w:spacing w:after="100" w:before="240"/>
      </w:pPr>
      <w:r>
        <w:rPr>
          <w:rFonts w:ascii="Calibri" w:cs="Calibri" w:eastAsia="Calibri" w:hAnsi="Calibri"/>
        </w:rPr>
        <w:t xml:space="preserve">National case: five-year net $7,499,198, 42,400 buyers, 6,500 subscribers, 17,500 district seats and 2,500 clinic seats at the end of Year 5</w:t>
      </w:r>
    </w:p>
    <w:p>
      <w:pPr>
        <w:spacing w:after="120"/>
      </w:pPr>
      <w:r>
        <w:rPr>
          <w:rFonts w:ascii="Calibri" w:cs="Calibri" w:eastAsia="Calibri" w:hAnsi="Calibri"/>
          <w:sz w:val="20"/>
          <w:szCs w:val="20"/>
        </w:rPr>
        <w:t xml:space="preserve">The ramp is the Master Hub page’s, pasted 8 September and written by another AI: it names each year’s district seats outright and adds clinics as a channel. Nobody has said who the clinics are or what they pay, so clinic seats are priced like school seats. Its operating column bundled RevenueCat; here operating is that column minus 1% of the page’s own gross, which leaves $34,500, $53,700, $81,700, $114,700 and $147,700. The page showed $8,058,740 cumulative because it took out only the store’s 15% and that column and counted subscribers at year end.</w:t>
      </w:r>
    </w:p>
    <w:tbl>
      <w:tblPr>
        <w:tblW w:type="dxa" w:w="11660"/>
        <w:tblBorders>
          <w:top w:val="single" w:color="auto" w:sz="4"/>
          <w:left w:val="single" w:color="auto" w:sz="4"/>
          <w:bottom w:val="single" w:color="auto" w:sz="4"/>
          <w:right w:val="single" w:color="auto" w:sz="4"/>
          <w:insideH w:val="single" w:color="auto" w:sz="4"/>
          <w:insideV w:val="single" w:color="auto" w:sz="4"/>
        </w:tblBorders>
      </w:tblPr>
      <w:tblGrid>
        <w:gridCol w:w="520"/>
        <w:gridCol w:w="560"/>
        <w:gridCol w:w="560"/>
        <w:gridCol w:w="560"/>
        <w:gridCol w:w="900"/>
        <w:gridCol w:w="720"/>
        <w:gridCol w:w="760"/>
        <w:gridCol w:w="720"/>
        <w:gridCol w:w="760"/>
        <w:gridCol w:w="700"/>
        <w:gridCol w:w="660"/>
        <w:gridCol w:w="620"/>
        <w:gridCol w:w="700"/>
        <w:gridCol w:w="700"/>
        <w:gridCol w:w="700"/>
        <w:gridCol w:w="720"/>
        <w:gridCol w:w="800"/>
      </w:tblGrid>
      <w:tr>
        <w:tc>
          <w:tcPr>
            <w:tcW w:type="dxa" w:w="52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Year</w:t>
            </w:r>
          </w:p>
        </w:tc>
        <w:tc>
          <w:tcPr>
            <w:tcW w:type="dxa" w:w="56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Buyers</w:t>
            </w:r>
          </w:p>
        </w:tc>
        <w:tc>
          <w:tcPr>
            <w:tcW w:type="dxa" w:w="56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Subs, end</w:t>
            </w:r>
          </w:p>
        </w:tc>
        <w:tc>
          <w:tcPr>
            <w:tcW w:type="dxa" w:w="56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Subs, avg</w:t>
            </w:r>
          </w:p>
        </w:tc>
        <w:tc>
          <w:tcPr>
            <w:tcW w:type="dxa" w:w="9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Districts, seats (clinics)</w:t>
            </w:r>
          </w:p>
        </w:tc>
        <w:tc>
          <w:tcPr>
            <w:tcW w:type="dxa" w:w="72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Talker</w:t>
            </w:r>
          </w:p>
        </w:tc>
        <w:tc>
          <w:tcPr>
            <w:tcW w:type="dxa" w:w="76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Family Tether</w:t>
            </w:r>
          </w:p>
        </w:tc>
        <w:tc>
          <w:tcPr>
            <w:tcW w:type="dxa" w:w="72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Schools</w:t>
            </w:r>
          </w:p>
        </w:tc>
        <w:tc>
          <w:tcPr>
            <w:tcW w:type="dxa" w:w="76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Gross</w:t>
            </w:r>
          </w:p>
        </w:tc>
        <w:tc>
          <w:tcPr>
            <w:tcW w:type="dxa" w:w="7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Store fees</w:t>
            </w:r>
          </w:p>
        </w:tc>
        <w:tc>
          <w:tcPr>
            <w:tcW w:type="dxa" w:w="66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RevenueCat</w:t>
            </w:r>
          </w:p>
        </w:tc>
        <w:tc>
          <w:tcPr>
            <w:tcW w:type="dxa" w:w="62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Refunds</w:t>
            </w:r>
          </w:p>
        </w:tc>
        <w:tc>
          <w:tcPr>
            <w:tcW w:type="dxa" w:w="7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Cloud, fixed</w:t>
            </w:r>
          </w:p>
        </w:tc>
        <w:tc>
          <w:tcPr>
            <w:tcW w:type="dxa" w:w="7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Acquisition</w:t>
            </w:r>
          </w:p>
        </w:tc>
        <w:tc>
          <w:tcPr>
            <w:tcW w:type="dxa" w:w="7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Operating</w:t>
            </w:r>
          </w:p>
        </w:tc>
        <w:tc>
          <w:tcPr>
            <w:tcW w:type="dxa" w:w="72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Net</w:t>
            </w:r>
          </w:p>
        </w:tc>
        <w:tc>
          <w:tcPr>
            <w:tcW w:type="dxa" w:w="800"/>
            <w:shd w:fill="E8E3DA" w:color="auto" w:val="clear"/>
            <w:tcMar>
              <w:top w:type="dxa" w:w="50"/>
              <w:left w:type="dxa" w:w="70"/>
              <w:bottom w:type="dxa" w:w="50"/>
              <w:right w:type="dxa" w:w="70"/>
            </w:tcMar>
          </w:tcPr>
          <w:p>
            <w:pPr>
              <w:jc w:val="left"/>
            </w:pPr>
            <w:r>
              <w:rPr>
                <w:rFonts w:ascii="Calibri" w:cs="Calibri" w:eastAsia="Calibri" w:hAnsi="Calibri"/>
                <w:b/>
                <w:bCs/>
                <w:sz w:val="14"/>
                <w:szCs w:val="14"/>
              </w:rPr>
              <w:t xml:space="preserve">Cumulative</w:t>
            </w:r>
          </w:p>
        </w:tc>
      </w:tr>
      <w:tr>
        <w:tc>
          <w:tcPr>
            <w:tcW w:type="dxa" w:w="520"/>
            <w:tcMar>
              <w:top w:type="dxa" w:w="50"/>
              <w:left w:type="dxa" w:w="70"/>
              <w:bottom w:type="dxa" w:w="50"/>
              <w:right w:type="dxa" w:w="70"/>
            </w:tcMar>
          </w:tcPr>
          <w:p>
            <w:pPr>
              <w:jc w:val="left"/>
            </w:pPr>
            <w:r>
              <w:rPr>
                <w:rFonts w:ascii="Calibri" w:cs="Calibri" w:eastAsia="Calibri" w:hAnsi="Calibri"/>
                <w:b w:val="false"/>
                <w:bCs w:val="false"/>
                <w:sz w:val="14"/>
                <w:szCs w:val="14"/>
              </w:rPr>
              <w:t xml:space="preserve">1</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2,400</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450</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225</w:t>
            </w:r>
          </w:p>
        </w:tc>
        <w:tc>
          <w:tcPr>
            <w:tcW w:type="dxa" w:w="9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0, 0</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$239,976</w:t>
            </w:r>
          </w:p>
        </w:tc>
        <w:tc>
          <w:tcPr>
            <w:tcW w:type="dxa" w:w="7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$26,973</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$0</w:t>
            </w:r>
          </w:p>
        </w:tc>
        <w:tc>
          <w:tcPr>
            <w:tcW w:type="dxa" w:w="7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$266,949</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($40,042)</w:t>
            </w:r>
          </w:p>
        </w:tc>
        <w:tc>
          <w:tcPr>
            <w:tcW w:type="dxa" w:w="6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($2,669)</w:t>
            </w:r>
          </w:p>
        </w:tc>
        <w:tc>
          <w:tcPr>
            <w:tcW w:type="dxa" w:w="6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($10,678)</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($1,884)</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($28,800)</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($34,500)</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$148,375</w:t>
            </w:r>
          </w:p>
        </w:tc>
        <w:tc>
          <w:tcPr>
            <w:tcW w:type="dxa" w:w="8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$148,375</w:t>
            </w:r>
          </w:p>
        </w:tc>
      </w:tr>
      <w:tr>
        <w:tc>
          <w:tcPr>
            <w:tcW w:type="dxa" w:w="520"/>
            <w:tcMar>
              <w:top w:type="dxa" w:w="50"/>
              <w:left w:type="dxa" w:w="70"/>
              <w:bottom w:type="dxa" w:w="50"/>
              <w:right w:type="dxa" w:w="70"/>
            </w:tcMar>
          </w:tcPr>
          <w:p>
            <w:pPr>
              <w:jc w:val="left"/>
            </w:pPr>
            <w:r>
              <w:rPr>
                <w:rFonts w:ascii="Calibri" w:cs="Calibri" w:eastAsia="Calibri" w:hAnsi="Calibri"/>
                <w:b w:val="false"/>
                <w:bCs w:val="false"/>
                <w:sz w:val="14"/>
                <w:szCs w:val="14"/>
              </w:rPr>
              <w:t xml:space="preserve">2</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5,500</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1,450</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950</w:t>
            </w:r>
          </w:p>
        </w:tc>
        <w:tc>
          <w:tcPr>
            <w:tcW w:type="dxa" w:w="9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12, 480 (15, 150)</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$549,945</w:t>
            </w:r>
          </w:p>
        </w:tc>
        <w:tc>
          <w:tcPr>
            <w:tcW w:type="dxa" w:w="7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$113,886</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$78,744</w:t>
            </w:r>
          </w:p>
        </w:tc>
        <w:tc>
          <w:tcPr>
            <w:tcW w:type="dxa" w:w="7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$742,575</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($99,575)</w:t>
            </w:r>
          </w:p>
        </w:tc>
        <w:tc>
          <w:tcPr>
            <w:tcW w:type="dxa" w:w="6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($6,638)</w:t>
            </w:r>
          </w:p>
        </w:tc>
        <w:tc>
          <w:tcPr>
            <w:tcW w:type="dxa" w:w="6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($26,553)</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($6,385)</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($66,000)</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($53,700)</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$483,724</w:t>
            </w:r>
          </w:p>
        </w:tc>
        <w:tc>
          <w:tcPr>
            <w:tcW w:type="dxa" w:w="8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$632,099</w:t>
            </w:r>
          </w:p>
        </w:tc>
      </w:tr>
      <w:tr>
        <w:tc>
          <w:tcPr>
            <w:tcW w:type="dxa" w:w="520"/>
            <w:tcMar>
              <w:top w:type="dxa" w:w="50"/>
              <w:left w:type="dxa" w:w="70"/>
              <w:bottom w:type="dxa" w:w="50"/>
              <w:right w:type="dxa" w:w="70"/>
            </w:tcMar>
          </w:tcPr>
          <w:p>
            <w:pPr>
              <w:jc w:val="left"/>
            </w:pPr>
            <w:r>
              <w:rPr>
                <w:rFonts w:ascii="Calibri" w:cs="Calibri" w:eastAsia="Calibri" w:hAnsi="Calibri"/>
                <w:b w:val="false"/>
                <w:bCs w:val="false"/>
                <w:sz w:val="14"/>
                <w:szCs w:val="14"/>
              </w:rPr>
              <w:t xml:space="preserve">3</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8,500</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2,900</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2,175</w:t>
            </w:r>
          </w:p>
        </w:tc>
        <w:tc>
          <w:tcPr>
            <w:tcW w:type="dxa" w:w="9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45, 2,000 (50, 500)</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$849,915</w:t>
            </w:r>
          </w:p>
        </w:tc>
        <w:tc>
          <w:tcPr>
            <w:tcW w:type="dxa" w:w="7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$260,739</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$312,475</w:t>
            </w:r>
          </w:p>
        </w:tc>
        <w:tc>
          <w:tcPr>
            <w:tcW w:type="dxa" w:w="7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$1,423,129</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($166,598)</w:t>
            </w:r>
          </w:p>
        </w:tc>
        <w:tc>
          <w:tcPr>
            <w:tcW w:type="dxa" w:w="6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($11,107)</w:t>
            </w:r>
          </w:p>
        </w:tc>
        <w:tc>
          <w:tcPr>
            <w:tcW w:type="dxa" w:w="6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($44,426)</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($13,945)</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($102,000)</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($81,700)</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$1,003,354</w:t>
            </w:r>
          </w:p>
        </w:tc>
        <w:tc>
          <w:tcPr>
            <w:tcW w:type="dxa" w:w="8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$1,635,453</w:t>
            </w:r>
          </w:p>
        </w:tc>
      </w:tr>
      <w:tr>
        <w:tc>
          <w:tcPr>
            <w:tcW w:type="dxa" w:w="520"/>
            <w:tcMar>
              <w:top w:type="dxa" w:w="50"/>
              <w:left w:type="dxa" w:w="70"/>
              <w:bottom w:type="dxa" w:w="50"/>
              <w:right w:type="dxa" w:w="70"/>
            </w:tcMar>
          </w:tcPr>
          <w:p>
            <w:pPr>
              <w:jc w:val="left"/>
            </w:pPr>
            <w:r>
              <w:rPr>
                <w:rFonts w:ascii="Calibri" w:cs="Calibri" w:eastAsia="Calibri" w:hAnsi="Calibri"/>
                <w:b w:val="false"/>
                <w:bCs w:val="false"/>
                <w:sz w:val="14"/>
                <w:szCs w:val="14"/>
              </w:rPr>
              <w:t xml:space="preserve">4</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11,500</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4,600</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3,750</w:t>
            </w:r>
          </w:p>
        </w:tc>
        <w:tc>
          <w:tcPr>
            <w:tcW w:type="dxa" w:w="9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140, 7,000 (120, 1,200)</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$1,149,885</w:t>
            </w:r>
          </w:p>
        </w:tc>
        <w:tc>
          <w:tcPr>
            <w:tcW w:type="dxa" w:w="7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$449,550</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$1,024,918</w:t>
            </w:r>
          </w:p>
        </w:tc>
        <w:tc>
          <w:tcPr>
            <w:tcW w:type="dxa" w:w="7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$2,624,353</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($239,915)</w:t>
            </w:r>
          </w:p>
        </w:tc>
        <w:tc>
          <w:tcPr>
            <w:tcW w:type="dxa" w:w="6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($15,994)</w:t>
            </w:r>
          </w:p>
        </w:tc>
        <w:tc>
          <w:tcPr>
            <w:tcW w:type="dxa" w:w="6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($63,977)</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($23,619)</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($138,000)</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($114,700)</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$2,028,147</w:t>
            </w:r>
          </w:p>
        </w:tc>
        <w:tc>
          <w:tcPr>
            <w:tcW w:type="dxa" w:w="8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$3,663,600</w:t>
            </w:r>
          </w:p>
        </w:tc>
      </w:tr>
      <w:tr>
        <w:tc>
          <w:tcPr>
            <w:tcW w:type="dxa" w:w="520"/>
            <w:tcMar>
              <w:top w:type="dxa" w:w="50"/>
              <w:left w:type="dxa" w:w="70"/>
              <w:bottom w:type="dxa" w:w="50"/>
              <w:right w:type="dxa" w:w="70"/>
            </w:tcMar>
          </w:tcPr>
          <w:p>
            <w:pPr>
              <w:jc w:val="left"/>
            </w:pPr>
            <w:r>
              <w:rPr>
                <w:rFonts w:ascii="Calibri" w:cs="Calibri" w:eastAsia="Calibri" w:hAnsi="Calibri"/>
                <w:b w:val="false"/>
                <w:bCs w:val="false"/>
                <w:sz w:val="14"/>
                <w:szCs w:val="14"/>
              </w:rPr>
              <w:t xml:space="preserve">5</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14,500</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6,500</w:t>
            </w:r>
          </w:p>
        </w:tc>
        <w:tc>
          <w:tcPr>
            <w:tcW w:type="dxa" w:w="5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5,550</w:t>
            </w:r>
          </w:p>
        </w:tc>
        <w:tc>
          <w:tcPr>
            <w:tcW w:type="dxa" w:w="9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320, 17,500 (250, 2,500)</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$1,449,855</w:t>
            </w:r>
          </w:p>
        </w:tc>
        <w:tc>
          <w:tcPr>
            <w:tcW w:type="dxa" w:w="7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$665,334</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$2,499,800</w:t>
            </w:r>
          </w:p>
        </w:tc>
        <w:tc>
          <w:tcPr>
            <w:tcW w:type="dxa" w:w="7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$4,614,989</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($317,278)</w:t>
            </w:r>
          </w:p>
        </w:tc>
        <w:tc>
          <w:tcPr>
            <w:tcW w:type="dxa" w:w="660"/>
            <w:tcMar>
              <w:top w:type="dxa" w:w="50"/>
              <w:left w:type="dxa" w:w="70"/>
              <w:bottom w:type="dxa" w:w="50"/>
              <w:right w:type="dxa" w:w="70"/>
            </w:tcMar>
          </w:tcPr>
          <w:p>
            <w:pPr>
              <w:jc w:val="right"/>
            </w:pPr>
            <w:r>
              <w:rPr>
                <w:rFonts w:ascii="Calibri" w:cs="Calibri" w:eastAsia="Calibri" w:hAnsi="Calibri"/>
                <w:b w:val="false"/>
                <w:bCs w:val="false"/>
                <w:sz w:val="14"/>
                <w:szCs w:val="14"/>
              </w:rPr>
              <w:t xml:space="preserve">($21,152)</w:t>
            </w:r>
          </w:p>
        </w:tc>
        <w:tc>
          <w:tcPr>
            <w:tcW w:type="dxa" w:w="6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($84,608)</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($34,653)</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($174,000)</w:t>
            </w:r>
          </w:p>
        </w:tc>
        <w:tc>
          <w:tcPr>
            <w:tcW w:type="dxa" w:w="7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($147,700)</w:t>
            </w:r>
          </w:p>
        </w:tc>
        <w:tc>
          <w:tcPr>
            <w:tcW w:type="dxa" w:w="720"/>
            <w:tcMar>
              <w:top w:type="dxa" w:w="50"/>
              <w:left w:type="dxa" w:w="70"/>
              <w:bottom w:type="dxa" w:w="50"/>
              <w:right w:type="dxa" w:w="70"/>
            </w:tcMar>
          </w:tcPr>
          <w:p>
            <w:pPr>
              <w:jc w:val="right"/>
            </w:pPr>
            <w:r>
              <w:rPr>
                <w:rFonts w:ascii="Calibri" w:cs="Calibri" w:eastAsia="Calibri" w:hAnsi="Calibri"/>
                <w:b w:val="false"/>
                <w:bCs w:val="false"/>
                <w:sz w:val="14"/>
                <w:szCs w:val="14"/>
              </w:rPr>
              <w:t xml:space="preserve">$3,835,598</w:t>
            </w:r>
          </w:p>
        </w:tc>
        <w:tc>
          <w:tcPr>
            <w:tcW w:type="dxa" w:w="800"/>
            <w:tcMar>
              <w:top w:type="dxa" w:w="50"/>
              <w:left w:type="dxa" w:w="70"/>
              <w:bottom w:type="dxa" w:w="50"/>
              <w:right w:type="dxa" w:w="70"/>
            </w:tcMar>
          </w:tcPr>
          <w:p>
            <w:pPr>
              <w:jc w:val="right"/>
            </w:pPr>
            <w:r>
              <w:rPr>
                <w:rFonts w:ascii="Calibri" w:cs="Calibri" w:eastAsia="Calibri" w:hAnsi="Calibri"/>
                <w:b w:val="false"/>
                <w:bCs w:val="false"/>
                <w:sz w:val="14"/>
                <w:szCs w:val="14"/>
              </w:rPr>
              <w:t xml:space="preserve">$7,499,198</w:t>
            </w:r>
          </w:p>
        </w:tc>
      </w:tr>
    </w:tbl>
    <w:p>
      <w:pPr>
        <w:spacing w:after="120"/>
      </w:pPr>
      <w:r>
        <w:rPr>
          <w:rFonts w:ascii="Calibri" w:cs="Calibri" w:eastAsia="Calibri" w:hAnsi="Calibri"/>
          <w:sz w:val="22"/>
          <w:szCs w:val="22"/>
        </w:rPr>
        <w:t xml:space="preserve"/>
      </w:r>
    </w:p>
    <w:p>
      <w:pPr>
        <w:pStyle w:val="Heading2"/>
        <w:spacing w:after="100" w:before="240"/>
      </w:pPr>
      <w:r>
        <w:rPr>
          <w:rFonts w:ascii="Calibri" w:cs="Calibri" w:eastAsia="Calibri" w:hAnsi="Calibri"/>
        </w:rPr>
        <w:t xml:space="preserve">Why these differ from the tables in the 7 September document</w:t>
      </w:r>
    </w:p>
    <w:p>
      <w:pPr>
        <w:pStyle w:val="ListParagraph"/>
        <w:numPr>
          <w:ilvl w:val="0"/>
          <w:numId w:val="2"/>
        </w:numPr>
        <w:spacing w:after="80"/>
      </w:pPr>
      <w:r>
        <w:rPr>
          <w:rFonts w:ascii="Calibri" w:cs="Calibri" w:eastAsia="Calibri" w:hAnsi="Calibri"/>
          <w:sz w:val="22"/>
          <w:szCs w:val="22"/>
        </w:rPr>
        <w:t xml:space="preserve">That document’s net columns take out only the store’s 15%. These take out, in addition, RevenueCat’s 1%, refunds, the per-family cloud costs, the fixed subscriptions, and acquisition, and they count subscribers as the average of the year rather than a fixed fraction. Same buyers, same subscribers, same districts, same operating expenses.</w:t>
      </w:r>
    </w:p>
    <w:p>
      <w:pPr>
        <w:pStyle w:val="ListParagraph"/>
        <w:numPr>
          <w:ilvl w:val="0"/>
          <w:numId w:val="2"/>
        </w:numPr>
        <w:spacing w:after="80"/>
      </w:pPr>
      <w:r>
        <w:rPr>
          <w:rFonts w:ascii="Calibri" w:cs="Calibri" w:eastAsia="Calibri" w:hAnsi="Calibri"/>
          <w:sz w:val="22"/>
          <w:szCs w:val="22"/>
        </w:rPr>
        <w:t xml:space="preserve">The document’s five-year nets were $674,380, $2,098,800 and $6,081,210. These are $475,403, $1,513,333 and $5,217,785.</w:t>
      </w:r>
    </w:p>
    <w:p>
      <w:pPr>
        <w:pStyle w:val="Heading1"/>
        <w:spacing w:after="120" w:before="320"/>
      </w:pPr>
      <w:r>
        <w:rPr>
          <w:rFonts w:ascii="Calibri" w:cs="Calibri" w:eastAsia="Calibri" w:hAnsi="Calibri"/>
        </w:rPr>
        <w:t xml:space="preserve">5. Rollout roadmap, as the Master Hub page lays it out, with what has been checked</w:t>
      </w:r>
    </w:p>
    <w:p>
      <w:pPr>
        <w:spacing w:after="120"/>
      </w:pPr>
      <w:r>
        <w:rPr>
          <w:rFonts w:ascii="Calibri" w:cs="Calibri" w:eastAsia="Calibri" w:hAnsi="Calibri"/>
          <w:sz w:val="22"/>
          <w:szCs w:val="22"/>
        </w:rPr>
        <w:t xml:space="preserve">The three phases and their month ranges are the pasted page’s; Frank has not set dates. On 8 September the sites for every claim but Apple’s refused a connection from the build environment, so those lines are unverified and say how to reach the source.</w:t>
      </w:r>
    </w:p>
    <w:p>
      <w:pPr>
        <w:pStyle w:val="Heading2"/>
        <w:spacing w:after="100" w:before="240"/>
      </w:pPr>
      <w:r>
        <w:rPr>
          <w:rFonts w:ascii="Calibri" w:cs="Calibri" w:eastAsia="Calibri" w:hAnsi="Calibri"/>
        </w:rPr>
        <w:t xml:space="preserve">Phase 1, a Florida cluster (months 6 to 18 on the page)</w:t>
      </w:r>
    </w:p>
    <w:p>
      <w:pPr>
        <w:pStyle w:val="ListParagraph"/>
        <w:numPr>
          <w:ilvl w:val="0"/>
          <w:numId w:val="2"/>
        </w:numPr>
        <w:spacing w:after="80"/>
      </w:pPr>
      <w:r>
        <w:rPr>
          <w:rFonts w:ascii="Calibri" w:cs="Calibri" w:eastAsia="Calibri" w:hAnsi="Calibri"/>
          <w:sz w:val="22"/>
          <w:szCs w:val="22"/>
        </w:rPr>
        <w:t xml:space="preserve">Anchor pilot at Evan’s school: Year 1 is the free pilot requested by its ESE director (Frank’s 7 September document). The page adds documented classroom data from Cynthia Puentes; no such data exists in the repository or the ledger, so nothing here cites it.</w:t>
      </w:r>
    </w:p>
    <w:p>
      <w:pPr>
        <w:pStyle w:val="ListParagraph"/>
        <w:numPr>
          <w:ilvl w:val="0"/>
          <w:numId w:val="2"/>
        </w:numPr>
        <w:spacing w:after="80"/>
      </w:pPr>
      <w:r>
        <w:rPr>
          <w:rFonts w:ascii="Calibri" w:cs="Calibri" w:eastAsia="Calibri" w:hAnsi="Calibri"/>
          <w:sz w:val="22"/>
          <w:szCs w:val="22"/>
        </w:rPr>
        <w:t xml:space="preserve">FDLRS centers (Florida Diagnostic and Learning Resources System) for Martin, Palm Beach, Brevard, Indian River and Okeechobee counties: unverified. Search "FDLRS associate centers" on fldoe.org, the Florida Department of Education, or open fdlrs.org.</w:t>
      </w:r>
    </w:p>
    <w:p>
      <w:pPr>
        <w:pStyle w:val="Heading2"/>
        <w:spacing w:after="100" w:before="240"/>
      </w:pPr>
      <w:r>
        <w:rPr>
          <w:rFonts w:ascii="Calibri" w:cs="Calibri" w:eastAsia="Calibri" w:hAnsi="Calibri"/>
        </w:rPr>
        <w:t xml:space="preserve">Phase 2, statewide Florida and regional hubs (months 18 to 36 on the page)</w:t>
      </w:r>
    </w:p>
    <w:p>
      <w:pPr>
        <w:pStyle w:val="ListParagraph"/>
        <w:numPr>
          <w:ilvl w:val="0"/>
          <w:numId w:val="2"/>
        </w:numPr>
        <w:spacing w:after="80"/>
      </w:pPr>
      <w:r>
        <w:rPr>
          <w:rFonts w:ascii="Calibri" w:cs="Calibri" w:eastAsia="Calibri" w:hAnsi="Calibri"/>
          <w:sz w:val="22"/>
          <w:szCs w:val="22"/>
        </w:rPr>
        <w:t xml:space="preserve">FAAST lending libraries (Florida Alliance for Assistive Services and Technology), so a school speech-language pathologist can try the app before ordering: unverified, including whether FAAST lends software. Search "FAAST Florida assistive technology device loan program".</w:t>
      </w:r>
    </w:p>
    <w:p>
      <w:pPr>
        <w:pStyle w:val="ListParagraph"/>
        <w:numPr>
          <w:ilvl w:val="0"/>
          <w:numId w:val="2"/>
        </w:numPr>
        <w:spacing w:after="80"/>
      </w:pPr>
      <w:r>
        <w:rPr>
          <w:rFonts w:ascii="Calibri" w:cs="Calibri" w:eastAsia="Calibri" w:hAnsi="Calibri"/>
          <w:sz w:val="22"/>
          <w:szCs w:val="22"/>
        </w:rPr>
        <w:t xml:space="preserve">Orders under the micro-purchase line so an ESE director can sign without a board vote, using IDEA Part B money: the federal threshold is in 2 CFR 200.1; its current figure, and whether a district sets a lower one, are unverified. Search "2 CFR 200.1 micro-purchase threshold" and open the ecfr.gov result. Board rules are the district’s own.</w:t>
      </w:r>
    </w:p>
    <w:p>
      <w:pPr>
        <w:pStyle w:val="Heading2"/>
        <w:spacing w:after="100" w:before="240"/>
      </w:pPr>
      <w:r>
        <w:rPr>
          <w:rFonts w:ascii="Calibri" w:cs="Calibri" w:eastAsia="Calibri" w:hAnsi="Calibri"/>
        </w:rPr>
        <w:t xml:space="preserve">Phase 3, national (months 36 to 60 on the page)</w:t>
      </w:r>
    </w:p>
    <w:p>
      <w:pPr>
        <w:pStyle w:val="ListParagraph"/>
        <w:numPr>
          <w:ilvl w:val="0"/>
          <w:numId w:val="2"/>
        </w:numPr>
        <w:spacing w:after="80"/>
      </w:pPr>
      <w:r>
        <w:rPr>
          <w:rFonts w:ascii="Calibri" w:cs="Calibri" w:eastAsia="Calibri" w:hAnsi="Calibri"/>
          <w:sz w:val="22"/>
          <w:szCs w:val="22"/>
        </w:rPr>
        <w:t xml:space="preserve">Conferences, ATIA in Orlando and the CEC convention: dates, cities and exhibitor costs unverified. Search "ATIA conference exhibitor" and "CEC convention exhibitor".</w:t>
      </w:r>
    </w:p>
    <w:p>
      <w:pPr>
        <w:pStyle w:val="ListParagraph"/>
        <w:numPr>
          <w:ilvl w:val="0"/>
          <w:numId w:val="2"/>
        </w:numPr>
        <w:spacing w:after="80"/>
      </w:pPr>
      <w:r>
        <w:rPr>
          <w:rFonts w:ascii="Calibri" w:cs="Calibri" w:eastAsia="Calibri" w:hAnsi="Calibri"/>
          <w:sz w:val="22"/>
          <w:szCs w:val="22"/>
        </w:rPr>
        <w:t xml:space="preserve">Apple School Manager volume purchase: verified from developer.apple.com/education on 8 September. Every App Store app is automatically available for volume purchase there, and a developer can enable a 50% discount for institutions buying 20 or more copies of the app. The discount is on copies of the app itself, so a school seat priced differently from the consumer app would need its own listing or a custom app; not settled.</w:t>
      </w:r>
    </w:p>
    <w:p>
      <w:pPr>
        <w:pStyle w:val="Heading1"/>
        <w:spacing w:after="120" w:before="320"/>
      </w:pPr>
      <w:r>
        <w:rPr>
          <w:rFonts w:ascii="Calibri" w:cs="Calibri" w:eastAsia="Calibri" w:hAnsi="Calibri"/>
        </w:rPr>
        <w:t xml:space="preserve">6. RevenueCat, and what the server does with each event</w:t>
      </w:r>
    </w:p>
    <w:p>
      <w:pPr>
        <w:pStyle w:val="ListParagraph"/>
        <w:numPr>
          <w:ilvl w:val="0"/>
          <w:numId w:val="2"/>
        </w:numPr>
        <w:spacing w:after="80"/>
      </w:pPr>
      <w:r>
        <w:rPr>
          <w:rFonts w:ascii="Calibri" w:cs="Calibri" w:eastAsia="Calibri" w:hAnsi="Calibri"/>
          <w:sz w:val="22"/>
          <w:szCs w:val="22"/>
        </w:rPr>
        <w:t xml:space="preserve">Billing runs through RevenueCat for both stores, restored on Frank’s go on 7 September after he read its pricing page: nothing to $2,500 in monthly tracked revenue, then 1%.</w:t>
      </w:r>
    </w:p>
    <w:p>
      <w:pPr>
        <w:pStyle w:val="ListParagraph"/>
        <w:numPr>
          <w:ilvl w:val="0"/>
          <w:numId w:val="2"/>
        </w:numPr>
        <w:spacing w:after="80"/>
      </w:pPr>
      <w:r>
        <w:rPr>
          <w:rFonts w:ascii="Calibri" w:cs="Calibri" w:eastAsia="Calibri" w:hAnsi="Calibri"/>
          <w:sz w:val="22"/>
          <w:szCs w:val="22"/>
        </w:rPr>
        <w:t xml:space="preserve">Our server, on each event: a purchase or renewal marks the family paid to the expiry the store gave; a cancellation keeps the family paid to that date; an expiry or pause locks everyday texting and the natural voice, and the talker keeps talking; a hardship grant is never overridden by the store. Refunds are not yet counted separately on the sales page because RevenueCat’s refund event name has not been confirmed from its own documentation.</w:t>
      </w:r>
    </w:p>
    <w:p>
      <w:pPr>
        <w:pStyle w:val="ListParagraph"/>
        <w:numPr>
          <w:ilvl w:val="0"/>
          <w:numId w:val="2"/>
        </w:numPr>
        <w:spacing w:after="80"/>
      </w:pPr>
      <w:r>
        <w:rPr>
          <w:rFonts w:ascii="Calibri" w:cs="Calibri" w:eastAsia="Calibri" w:hAnsi="Calibri"/>
          <w:sz w:val="22"/>
          <w:szCs w:val="22"/>
        </w:rPr>
        <w:t xml:space="preserve">The direct-with-Apple path from 5 September stays in the repository, switched off, so the middleman can be dropped later without new code.</w:t>
      </w:r>
    </w:p>
    <w:p>
      <w:pPr>
        <w:pStyle w:val="Heading1"/>
        <w:spacing w:after="120" w:before="320"/>
      </w:pPr>
      <w:r>
        <w:rPr>
          <w:rFonts w:ascii="Calibri" w:cs="Calibri" w:eastAsia="Calibri" w:hAnsi="Calibri"/>
        </w:rPr>
        <w:t xml:space="preserve">7. What is owed</w:t>
      </w:r>
    </w:p>
    <w:p>
      <w:pPr>
        <w:pStyle w:val="ListParagraph"/>
        <w:numPr>
          <w:ilvl w:val="0"/>
          <w:numId w:val="3"/>
        </w:numPr>
        <w:spacing w:after="100"/>
      </w:pPr>
      <w:r>
        <w:rPr>
          <w:rFonts w:ascii="Calibri" w:cs="Calibri" w:eastAsia="Calibri" w:hAnsi="Calibri"/>
          <w:sz w:val="22"/>
          <w:szCs w:val="22"/>
        </w:rPr>
        <w:t xml:space="preserve">Frank’s rulings on the three disagreements in section 2, and confirmation of the prices.</w:t>
      </w:r>
    </w:p>
    <w:p>
      <w:pPr>
        <w:pStyle w:val="ListParagraph"/>
        <w:numPr>
          <w:ilvl w:val="0"/>
          <w:numId w:val="3"/>
        </w:numPr>
        <w:spacing w:after="100"/>
      </w:pPr>
      <w:r>
        <w:rPr>
          <w:rFonts w:ascii="Calibri" w:cs="Calibri" w:eastAsia="Calibri" w:hAnsi="Calibri"/>
          <w:sz w:val="22"/>
          <w:szCs w:val="22"/>
        </w:rPr>
        <w:t xml:space="preserve">Verification from the companies’ own pages of the items marked "from Frank’s document": 10DLC fees, Vercel’s price, Codemagic’s free tier. Apple’s education volume discount was verified 8 September.</w:t>
      </w:r>
    </w:p>
    <w:p>
      <w:pPr>
        <w:pStyle w:val="ListParagraph"/>
        <w:numPr>
          <w:ilvl w:val="0"/>
          <w:numId w:val="3"/>
        </w:numPr>
        <w:spacing w:after="100"/>
      </w:pPr>
      <w:r>
        <w:rPr>
          <w:rFonts w:ascii="Calibri" w:cs="Calibri" w:eastAsia="Calibri" w:hAnsi="Calibri"/>
          <w:sz w:val="22"/>
          <w:szCs w:val="22"/>
        </w:rPr>
        <w:t xml:space="preserve">Frank’s word on how the Core Talker is sold, a paid app or a free app with a one-time purchase, because it decides what the webhook does with NON_RENEWING_PURCHASE; and on who the clinics in the National case are.</w:t>
      </w:r>
    </w:p>
    <w:p>
      <w:pPr>
        <w:pStyle w:val="ListParagraph"/>
        <w:numPr>
          <w:ilvl w:val="0"/>
          <w:numId w:val="3"/>
        </w:numPr>
        <w:spacing w:after="100"/>
      </w:pPr>
      <w:r>
        <w:rPr>
          <w:rFonts w:ascii="Calibri" w:cs="Calibri" w:eastAsia="Calibri" w:hAnsi="Calibri"/>
          <w:sz w:val="22"/>
          <w:szCs w:val="22"/>
        </w:rPr>
        <w:t xml:space="preserve">Measuring the per-family monthly cost of the natural voice from our logs.</w:t>
      </w:r>
    </w:p>
    <w:p>
      <w:pPr>
        <w:pStyle w:val="ListParagraph"/>
        <w:numPr>
          <w:ilvl w:val="0"/>
          <w:numId w:val="3"/>
        </w:numPr>
        <w:spacing w:after="100"/>
      </w:pPr>
      <w:r>
        <w:rPr>
          <w:rFonts w:ascii="Calibri" w:cs="Calibri" w:eastAsia="Calibri" w:hAnsi="Calibri"/>
          <w:sz w:val="22"/>
          <w:szCs w:val="22"/>
        </w:rPr>
        <w:t xml:space="preserve">Replacing the two usage assumptions with real numbers once families use it.</w:t>
      </w:r>
    </w:p>
    <w:p>
      <w:pPr>
        <w:pStyle w:val="ListParagraph"/>
        <w:numPr>
          <w:ilvl w:val="0"/>
          <w:numId w:val="3"/>
        </w:numPr>
        <w:spacing w:after="100"/>
      </w:pPr>
      <w:r>
        <w:rPr>
          <w:rFonts w:ascii="Calibri" w:cs="Calibri" w:eastAsia="Calibri" w:hAnsi="Calibri"/>
          <w:sz w:val="22"/>
          <w:szCs w:val="22"/>
        </w:rPr>
        <w:t xml:space="preserve">Re-sourcing or relabeling the earlier model’s market figures that rest on a blog, a vendor report or an aggregator, if the market build is brought back into this document.</w:t>
      </w:r>
    </w:p>
    <w:sectPr>
      <w:pgSz w:w="15840" w:h="122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2026-09-08T23:25:58.016Z</dcterms:created>
  <dcterms:modified xsi:type="dcterms:W3CDTF">2026-09-08T23:25:58.017Z</dcterms:modified>
</cp:coreProperties>
</file>

<file path=docProps/custom.xml><?xml version="1.0" encoding="utf-8"?>
<Properties xmlns="http://schemas.openxmlformats.org/officeDocument/2006/custom-properties" xmlns:vt="http://schemas.openxmlformats.org/officeDocument/2006/docPropsVTypes"/>
</file>