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Schools and Clinics Section: Brief for Claude Design</w:t>
      </w:r>
    </w:p>
    <w:p>
      <w:pPr>
        <w:spacing w:after="120"/>
      </w:pPr>
      <w:r>
        <w:rPr>
          <w:rFonts w:ascii="Calibri" w:cs="Calibri" w:eastAsia="Calibri" w:hAnsi="Calibri"/>
          <w:color w:val="6B6459"/>
          <w:sz w:val="22"/>
          <w:szCs w:val="22"/>
        </w:rPr>
        <w:t xml:space="preserve">9 September 2026. Prepared for Frank Schaeffer to hand to Claude Design. The section is already built as working code; this brief tells the designer what it is, where it is, and what may and may not change.</w:t>
      </w:r>
    </w:p>
    <w:p>
      <w:pPr>
        <w:pStyle w:val="Heading1"/>
        <w:spacing w:after="120" w:before="320"/>
      </w:pPr>
      <w:r>
        <w:rPr>
          <w:rFonts w:ascii="Calibri" w:cs="Calibri" w:eastAsia="Calibri" w:hAnsi="Calibri"/>
        </w:rPr>
        <w:t xml:space="preserve">1. What this is</w:t>
      </w:r>
    </w:p>
    <w:p>
      <w:pPr>
        <w:spacing w:after="120"/>
      </w:pPr>
      <w:r>
        <w:rPr>
          <w:rFonts w:ascii="Calibri" w:cs="Calibri" w:eastAsia="Calibri" w:hAnsi="Calibri"/>
          <w:sz w:val="22"/>
          <w:szCs w:val="22"/>
        </w:rPr>
        <w:t xml:space="preserve">A corporate section of ezvoxa.com for school districts, private schools, clinics and rehab centers. It sells EZvoxa Pro, the organization edition of the app, by quote, through EZ Voice LLC directly, never through the app stores. It has its own tone: fewer words, no consumer pricing, no subscription talk, no SOS, nothing about Evan.</w:t>
      </w:r>
    </w:p>
    <w:p>
      <w:pPr>
        <w:spacing w:after="120"/>
      </w:pPr>
      <w:r>
        <w:rPr>
          <w:rFonts w:ascii="Calibri" w:cs="Calibri" w:eastAsia="Calibri" w:hAnsi="Calibri"/>
          <w:sz w:val="22"/>
          <w:szCs w:val="22"/>
        </w:rPr>
        <w:t xml:space="preserve">The section is one page, schools.html, with seven in-page sections and two forms. It is written in the site’s own stylesheet, header and footer, so it drops in beside the existing pages without new assets other than one poster image.</w:t>
      </w:r>
    </w:p>
    <w:p>
      <w:pPr>
        <w:pStyle w:val="Heading1"/>
        <w:spacing w:after="120" w:before="320"/>
      </w:pPr>
      <w:r>
        <w:rPr>
          <w:rFonts w:ascii="Calibri" w:cs="Calibri" w:eastAsia="Calibri" w:hAnsi="Calibri"/>
        </w:rPr>
        <w:t xml:space="preserve">2. Where the code is</w:t>
      </w:r>
    </w:p>
    <w:p>
      <w:pPr>
        <w:pStyle w:val="ListParagraph"/>
        <w:numPr>
          <w:ilvl w:val="0"/>
          <w:numId w:val="2"/>
        </w:numPr>
        <w:spacing w:after="80"/>
      </w:pPr>
      <w:r>
        <w:rPr>
          <w:rFonts w:ascii="Calibri" w:cs="Calibri" w:eastAsia="Calibri" w:hAnsi="Calibri"/>
          <w:sz w:val="22"/>
          <w:szCs w:val="22"/>
        </w:rPr>
        <w:t xml:space="preserve">Repository fschaeffer16/EZvoxaWEBSITE, branch schools-section. Files: schools.html (the page), schools-poster.jpg (the video poster), site.js (two additions, see section 8).</w:t>
      </w:r>
    </w:p>
    <w:p>
      <w:pPr>
        <w:pStyle w:val="ListParagraph"/>
        <w:numPr>
          <w:ilvl w:val="0"/>
          <w:numId w:val="2"/>
        </w:numPr>
        <w:spacing w:after="80"/>
      </w:pPr>
      <w:r>
        <w:rPr>
          <w:rFonts w:ascii="Calibri" w:cs="Calibri" w:eastAsia="Calibri" w:hAnsi="Calibri"/>
          <w:sz w:val="22"/>
          <w:szCs w:val="22"/>
        </w:rPr>
        <w:t xml:space="preserve">A preview copy runs at https://ez-comm-tether.vercel.app/site-preview/schools.html so the page can be seen on a phone, a tablet and a desktop before it goes on ezvoxa.com.</w:t>
      </w:r>
    </w:p>
    <w:p>
      <w:pPr>
        <w:pStyle w:val="ListParagraph"/>
        <w:numPr>
          <w:ilvl w:val="0"/>
          <w:numId w:val="2"/>
        </w:numPr>
        <w:spacing w:after="80"/>
      </w:pPr>
      <w:r>
        <w:rPr>
          <w:rFonts w:ascii="Calibri" w:cs="Calibri" w:eastAsia="Calibri" w:hAnsi="Calibri"/>
          <w:sz w:val="22"/>
          <w:szCs w:val="22"/>
        </w:rPr>
        <w:t xml:space="preserve">The forms post to https://ez-comm-tether.vercel.app/api/quote (file api/quote.js in the EZCommTETHER repository). From ezvoxa.com the same endpoint is reached same-origin at /app/api/quote through the rewrite already in the site’s vercel.json.</w:t>
      </w:r>
    </w:p>
    <w:p>
      <w:pPr>
        <w:pStyle w:val="Heading1"/>
        <w:spacing w:after="120" w:before="320"/>
      </w:pPr>
      <w:r>
        <w:rPr>
          <w:rFonts w:ascii="Calibri" w:cs="Calibri" w:eastAsia="Calibri" w:hAnsi="Calibri"/>
        </w:rPr>
        <w:t xml:space="preserve">3. The page, section by section, with the copy as built</w:t>
      </w:r>
    </w:p>
    <w:p>
      <w:pPr>
        <w:spacing w:after="120"/>
      </w:pPr>
      <w:r>
        <w:rPr>
          <w:rFonts w:ascii="Calibri" w:cs="Calibri" w:eastAsia="Calibri" w:hAnsi="Calibri"/>
          <w:sz w:val="22"/>
          <w:szCs w:val="22"/>
        </w:rPr>
        <w:t xml:space="preserve">Copy is Frank’s to change. Every figure keeps its source line; the sources are the entity’s own files and are listed in section 4.</w:t>
      </w:r>
    </w:p>
    <w:p>
      <w:pPr>
        <w:pStyle w:val="Heading2"/>
        <w:spacing w:after="100" w:before="240"/>
      </w:pPr>
      <w:r>
        <w:rPr>
          <w:rFonts w:ascii="Calibri" w:cs="Calibri" w:eastAsia="Calibri" w:hAnsi="Calibri"/>
        </w:rPr>
        <w:t xml:space="preserve">Header</w:t>
      </w:r>
    </w:p>
    <w:p>
      <w:pPr>
        <w:spacing w:after="120"/>
      </w:pPr>
      <w:r>
        <w:rPr>
          <w:rFonts w:ascii="Calibri" w:cs="Calibri" w:eastAsia="Calibri" w:hAnsi="Calibri"/>
          <w:sz w:val="22"/>
          <w:szCs w:val="22"/>
        </w:rPr>
        <w:t xml:space="preserve">The site’s existing top bar, with one new item in the main menu between Professionals and From Frank:</w:t>
      </w:r>
    </w:p>
    <w:p>
      <w:pPr>
        <w:spacing w:after="100"/>
        <w:ind w:left="540"/>
      </w:pPr>
      <w:r>
        <w:rPr>
          <w:rFonts w:ascii="Calibri" w:cs="Calibri" w:eastAsia="Calibri" w:hAnsi="Calibri"/>
          <w:i/>
          <w:iCs/>
          <w:color w:val="2E3A4A"/>
          <w:sz w:val="21"/>
          <w:szCs w:val="21"/>
        </w:rPr>
        <w:t xml:space="preserve">Schools &amp; Clinics</w:t>
      </w:r>
    </w:p>
    <w:p>
      <w:pPr>
        <w:spacing w:after="120"/>
      </w:pPr>
      <w:r>
        <w:rPr>
          <w:rFonts w:ascii="Calibri" w:cs="Calibri" w:eastAsia="Calibri" w:hAnsi="Calibri"/>
          <w:sz w:val="22"/>
          <w:szCs w:val="22"/>
        </w:rPr>
        <w:t xml:space="preserve">That item is only on schools.html today. Add it to every page’s menu when the section goes live.</w:t>
      </w:r>
    </w:p>
    <w:p>
      <w:pPr>
        <w:pStyle w:val="Heading2"/>
        <w:spacing w:after="100" w:before="240"/>
      </w:pPr>
      <w:r>
        <w:rPr>
          <w:rFonts w:ascii="Calibri" w:cs="Calibri" w:eastAsia="Calibri" w:hAnsi="Calibri"/>
        </w:rPr>
        <w:t xml:space="preserve">Hero (dark navy, video right, copy left)</w:t>
      </w:r>
    </w:p>
    <w:p>
      <w:pPr>
        <w:spacing w:after="100"/>
        <w:ind w:left="540"/>
      </w:pPr>
      <w:r>
        <w:rPr>
          <w:rFonts w:ascii="Calibri" w:cs="Calibri" w:eastAsia="Calibri" w:hAnsi="Calibri"/>
          <w:i/>
          <w:iCs/>
          <w:color w:val="2E3A4A"/>
          <w:sz w:val="21"/>
          <w:szCs w:val="21"/>
        </w:rPr>
        <w:t xml:space="preserve">EZVOXA PRO FOR SCHOOLS AND CLINICS</w:t>
      </w:r>
    </w:p>
    <w:p>
      <w:pPr>
        <w:spacing w:after="100"/>
        <w:ind w:left="540"/>
      </w:pPr>
      <w:r>
        <w:rPr>
          <w:rFonts w:ascii="Calibri" w:cs="Calibri" w:eastAsia="Calibri" w:hAnsi="Calibri"/>
          <w:i/>
          <w:iCs/>
          <w:color w:val="2E3A4A"/>
          <w:sz w:val="21"/>
          <w:szCs w:val="21"/>
        </w:rPr>
        <w:t xml:space="preserve">A voice for students who cannot rely on speech. Built for 13 and older.</w:t>
      </w:r>
    </w:p>
    <w:p>
      <w:pPr>
        <w:spacing w:after="100"/>
        <w:ind w:left="540"/>
      </w:pPr>
      <w:r>
        <w:rPr>
          <w:rFonts w:ascii="Calibri" w:cs="Calibri" w:eastAsia="Calibri" w:hAnsi="Calibri"/>
          <w:i/>
          <w:iCs/>
          <w:color w:val="2E3A4A"/>
          <w:sz w:val="21"/>
          <w:szCs w:val="21"/>
        </w:rPr>
        <w:t xml:space="preserve">A picture-first communication app for teenagers and adults who do not read. The picture is the button. No reading required.</w:t>
      </w:r>
    </w:p>
    <w:p>
      <w:pPr>
        <w:spacing w:after="100"/>
        <w:ind w:left="540"/>
      </w:pPr>
      <w:r>
        <w:rPr>
          <w:rFonts w:ascii="Calibri" w:cs="Calibri" w:eastAsia="Calibri" w:hAnsi="Calibri"/>
          <w:i/>
          <w:iCs/>
          <w:color w:val="2E3A4A"/>
          <w:sz w:val="21"/>
          <w:szCs w:val="21"/>
        </w:rPr>
        <w:t xml:space="preserve">Owned outright. No subscription. No student data.</w:t>
      </w:r>
    </w:p>
    <w:p>
      <w:pPr>
        <w:spacing w:after="100"/>
        <w:ind w:left="540"/>
      </w:pPr>
      <w:r>
        <w:rPr>
          <w:rFonts w:ascii="Calibri" w:cs="Calibri" w:eastAsia="Calibri" w:hAnsi="Calibri"/>
          <w:i/>
          <w:iCs/>
          <w:color w:val="2E3A4A"/>
          <w:sz w:val="21"/>
          <w:szCs w:val="21"/>
        </w:rPr>
        <w:t xml:space="preserve">[Request a quote]  [Start a pilot]</w:t>
      </w:r>
    </w:p>
    <w:p>
      <w:pPr>
        <w:spacing w:after="120"/>
      </w:pPr>
      <w:r>
        <w:rPr>
          <w:rFonts w:ascii="Calibri" w:cs="Calibri" w:eastAsia="Calibri" w:hAnsi="Calibri"/>
          <w:sz w:val="22"/>
          <w:szCs w:val="22"/>
        </w:rPr>
        <w:t xml:space="preserve">The video slot is 16:9 and plays pro-demo.mp4 when that file is placed in the site’s root. Until then the poster (a School board screen on navy) shows with a play badge that links to the guided demo. Frank has recorded the narration; the finished file goes in as pro-demo.mp4 and nothing else changes.</w:t>
      </w:r>
    </w:p>
    <w:p>
      <w:pPr>
        <w:pStyle w:val="Heading2"/>
        <w:spacing w:after="100" w:before="240"/>
      </w:pPr>
      <w:r>
        <w:rPr>
          <w:rFonts w:ascii="Calibri" w:cs="Calibri" w:eastAsia="Calibri" w:hAnsi="Calibri"/>
        </w:rPr>
        <w:t xml:space="preserve">Why now (white, three proof cards)</w:t>
      </w:r>
    </w:p>
    <w:p>
      <w:pPr>
        <w:spacing w:after="100"/>
        <w:ind w:left="540"/>
      </w:pPr>
      <w:r>
        <w:rPr>
          <w:rFonts w:ascii="Calibri" w:cs="Calibri" w:eastAsia="Calibri" w:hAnsi="Calibri"/>
          <w:i/>
          <w:iCs/>
          <w:color w:val="2E3A4A"/>
          <w:sz w:val="21"/>
          <w:szCs w:val="21"/>
        </w:rPr>
        <w:t xml:space="preserve">WHY NOW. The students changed. The tools did not.</w:t>
      </w:r>
    </w:p>
    <w:p>
      <w:pPr>
        <w:spacing w:after="100"/>
        <w:ind w:left="540"/>
      </w:pPr>
      <w:r>
        <w:rPr>
          <w:rFonts w:ascii="Calibri" w:cs="Calibri" w:eastAsia="Calibri" w:hAnsi="Calibri"/>
          <w:i/>
          <w:iCs/>
          <w:color w:val="2E3A4A"/>
          <w:sz w:val="21"/>
          <w:szCs w:val="21"/>
        </w:rPr>
        <w:t xml:space="preserve">The leading communication apps for nonverbal students were released between 2009 and 2012. The number of students they were built for has grown several times over since then.</w:t>
      </w:r>
    </w:p>
    <w:p>
      <w:pPr>
        <w:spacing w:after="100"/>
        <w:ind w:left="540"/>
      </w:pPr>
      <w:r>
        <w:rPr>
          <w:rFonts w:ascii="Calibri" w:cs="Calibri" w:eastAsia="Calibri" w:hAnsi="Calibri"/>
          <w:i/>
          <w:iCs/>
          <w:color w:val="2E3A4A"/>
          <w:sz w:val="21"/>
          <w:szCs w:val="21"/>
        </w:rPr>
        <w:t xml:space="preserve">Card 1: 2.9×. Students with autism served under IDEA, 2008-09 to 2022-23. 336,000 students in 2008-09. 980,000 in 2022-23. The current apps launched in that first window and have not been rebuilt for the students who arrived after.</w:t>
      </w:r>
    </w:p>
    <w:p>
      <w:pPr>
        <w:spacing w:after="100"/>
        <w:ind w:left="540"/>
      </w:pPr>
      <w:r>
        <w:rPr>
          <w:rFonts w:ascii="Calibri" w:cs="Calibri" w:eastAsia="Calibri" w:hAnsi="Calibri"/>
          <w:i/>
          <w:iCs/>
          <w:color w:val="2E3A4A"/>
          <w:sz w:val="21"/>
          <w:szCs w:val="21"/>
        </w:rPr>
        <w:t xml:space="preserve">Card 2: 7.4×. Florida students aged 6 to 21 with autism, 2005 to 2024. 7,918 students in 2005. 58,848 in 2024. Over the same years, Florida students with disabilities of every kind in that age band grew 12 percent. This is not a general rise. It is autism.</w:t>
      </w:r>
    </w:p>
    <w:p>
      <w:pPr>
        <w:spacing w:after="100"/>
        <w:ind w:left="540"/>
      </w:pPr>
      <w:r>
        <w:rPr>
          <w:rFonts w:ascii="Calibri" w:cs="Calibri" w:eastAsia="Calibri" w:hAnsi="Calibri"/>
          <w:i/>
          <w:iCs/>
          <w:color w:val="2E3A4A"/>
          <w:sz w:val="21"/>
          <w:szCs w:val="21"/>
        </w:rPr>
        <w:t xml:space="preserve">Card 3: +79%. St. Lucie County school-age students with autism, 2020-21 to 2024-25. 579 students in 2020-21. 1,035 in 2024-25. Autism is now 15.5 percent of the district’s school-age students with disabilities.</w:t>
      </w:r>
    </w:p>
    <w:p>
      <w:pPr>
        <w:spacing w:after="100"/>
        <w:ind w:left="540"/>
      </w:pPr>
      <w:r>
        <w:rPr>
          <w:rFonts w:ascii="Calibri" w:cs="Calibri" w:eastAsia="Calibri" w:hAnsi="Calibri"/>
          <w:i/>
          <w:iCs/>
          <w:color w:val="2E3A4A"/>
          <w:sz w:val="21"/>
          <w:szCs w:val="21"/>
        </w:rPr>
        <w:t xml:space="preserve">Below the cards: EZvoxa Pro is the EZvoxa app with the family features removed and organization licensing added. Same boards, same pictures, same voice.</w:t>
      </w:r>
    </w:p>
    <w:p>
      <w:pPr>
        <w:pStyle w:val="Heading2"/>
        <w:spacing w:after="100" w:before="240"/>
      </w:pPr>
      <w:r>
        <w:rPr>
          <w:rFonts w:ascii="Calibri" w:cs="Calibri" w:eastAsia="Calibri" w:hAnsi="Calibri"/>
        </w:rPr>
        <w:t xml:space="preserve">How it works (light grey, three columns)</w:t>
      </w:r>
    </w:p>
    <w:p>
      <w:pPr>
        <w:spacing w:after="100"/>
        <w:ind w:left="540"/>
      </w:pPr>
      <w:r>
        <w:rPr>
          <w:rFonts w:ascii="Calibri" w:cs="Calibri" w:eastAsia="Calibri" w:hAnsi="Calibri"/>
          <w:i/>
          <w:iCs/>
          <w:color w:val="2E3A4A"/>
          <w:sz w:val="21"/>
          <w:szCs w:val="21"/>
        </w:rPr>
        <w:t xml:space="preserve">HOW IT WORKS. One license. Three ways to install. No district is told no.</w:t>
      </w:r>
    </w:p>
    <w:p>
      <w:pPr>
        <w:spacing w:after="100"/>
        <w:ind w:left="540"/>
      </w:pPr>
      <w:r>
        <w:rPr>
          <w:rFonts w:ascii="Calibri" w:cs="Calibri" w:eastAsia="Calibri" w:hAnsi="Calibri"/>
          <w:i/>
          <w:iCs/>
          <w:color w:val="2E3A4A"/>
          <w:sz w:val="21"/>
          <w:szCs w:val="21"/>
        </w:rPr>
        <w:t xml:space="preserve">Path A, the default. App Store or Google Play, by your private link. EZvoxa Pro is an unlisted store app. It does not appear in search. Your district’s private link installs it on any iPad, iPhone or Android device, managed or not, and it updates through the store like any other app. Each device joins your organization with a join code from your portal. The code counts one seat. No student names are entered anywhere.</w:t>
      </w:r>
    </w:p>
    <w:p>
      <w:pPr>
        <w:spacing w:after="100"/>
        <w:ind w:left="540"/>
      </w:pPr>
      <w:r>
        <w:rPr>
          <w:rFonts w:ascii="Calibri" w:cs="Calibri" w:eastAsia="Calibri" w:hAnsi="Calibri"/>
          <w:i/>
          <w:iCs/>
          <w:color w:val="2E3A4A"/>
          <w:sz w:val="21"/>
          <w:szCs w:val="21"/>
        </w:rPr>
        <w:t xml:space="preserve">Path B, any device, no store account. From the web, on any device. Install from app.ezvoxa.com to the home screen, enter the join code, done. Same app, same code, no Apple ID or Google account needed. This is the path for a classroom that has devices but no store accounts. Districts that require everything through Apple School Manager can receive EZvoxa Pro as a custom app for their organization ID, invoiced by us.</w:t>
      </w:r>
    </w:p>
    <w:p>
      <w:pPr>
        <w:spacing w:after="100"/>
        <w:ind w:left="540"/>
      </w:pPr>
      <w:r>
        <w:rPr>
          <w:rFonts w:ascii="Calibri" w:cs="Calibri" w:eastAsia="Calibri" w:hAnsi="Calibri"/>
          <w:i/>
          <w:iCs/>
          <w:color w:val="2E3A4A"/>
          <w:sz w:val="21"/>
          <w:szCs w:val="21"/>
        </w:rPr>
        <w:t xml:space="preserve">Path C, on request. On devices we ship. For programs that want a dedicated communication device: supervised phones locked to the app, shipped configured with your join code. Priced separately on the quote when a district asks for it.</w:t>
      </w:r>
    </w:p>
    <w:p>
      <w:pPr>
        <w:spacing w:after="100"/>
        <w:ind w:left="540"/>
      </w:pPr>
      <w:r>
        <w:rPr>
          <w:rFonts w:ascii="Calibri" w:cs="Calibri" w:eastAsia="Calibri" w:hAnsi="Calibri"/>
          <w:i/>
          <w:iCs/>
          <w:color w:val="2E3A4A"/>
          <w:sz w:val="21"/>
          <w:szCs w:val="21"/>
        </w:rPr>
        <w:t xml:space="preserve">Below: Updates once or twice a year. Nothing on a device changes on its own between releases, and your administrator gets a release note by email before each one. Backup and restore is built in: a device can export its buttons and settings to a file and restore them on a replacement device. The file stays with the district. We never hold it.</w:t>
      </w:r>
    </w:p>
    <w:p>
      <w:pPr>
        <w:pStyle w:val="Heading2"/>
        <w:spacing w:after="100" w:before="240"/>
      </w:pPr>
      <w:r>
        <w:rPr>
          <w:rFonts w:ascii="Calibri" w:cs="Calibri" w:eastAsia="Calibri" w:hAnsi="Calibri"/>
        </w:rPr>
        <w:t xml:space="preserve">Pricing and purchasing (white, navy price card left, checklist right)</w:t>
      </w:r>
    </w:p>
    <w:p>
      <w:pPr>
        <w:spacing w:after="100"/>
        <w:ind w:left="540"/>
      </w:pPr>
      <w:r>
        <w:rPr>
          <w:rFonts w:ascii="Calibri" w:cs="Calibri" w:eastAsia="Calibri" w:hAnsi="Calibri"/>
          <w:i/>
          <w:iCs/>
          <w:color w:val="2E3A4A"/>
          <w:sz w:val="21"/>
          <w:szCs w:val="21"/>
        </w:rPr>
        <w:t xml:space="preserve">PRICING AND PURCHASING. One seat, one price. Volume and district-wide pricing by quote.</w:t>
      </w:r>
    </w:p>
    <w:p>
      <w:pPr>
        <w:spacing w:after="100"/>
        <w:ind w:left="540"/>
      </w:pPr>
      <w:r>
        <w:rPr>
          <w:rFonts w:ascii="Calibri" w:cs="Calibri" w:eastAsia="Calibri" w:hAnsi="Calibri"/>
          <w:i/>
          <w:iCs/>
          <w:color w:val="2E3A4A"/>
          <w:sz w:val="21"/>
          <w:szCs w:val="21"/>
        </w:rPr>
        <w:t xml:space="preserve">Price card: EZVOXA PRO. Per seat, owned outright. One seat is one device. No subscription, no renewal, no per-student fee. Updates included. Volume pricing, district-wide pricing and pilot terms are set on your quote, not on a public table. Ask, and we will price your program. [Request a quote]</w:t>
      </w:r>
    </w:p>
    <w:p>
      <w:pPr>
        <w:spacing w:after="120"/>
      </w:pPr>
      <w:r>
        <w:rPr>
          <w:rFonts w:ascii="Calibri" w:cs="Calibri" w:eastAsia="Calibri" w:hAnsi="Calibri"/>
          <w:sz w:val="22"/>
          <w:szCs w:val="22"/>
        </w:rPr>
        <w:t xml:space="preserve">The list price per seat is stated once, in the price card, on the line above “Per seat, owned outright”. That line is left out of the code until Frank confirms the price; there is an HTML comment marking the spot. No discount table anywhere in the section.</w:t>
      </w:r>
    </w:p>
    <w:p>
      <w:pPr>
        <w:spacing w:after="100"/>
        <w:ind w:left="540"/>
      </w:pPr>
      <w:r>
        <w:rPr>
          <w:rFonts w:ascii="Calibri" w:cs="Calibri" w:eastAsia="Calibri" w:hAnsi="Calibri"/>
          <w:i/>
          <w:iCs/>
          <w:color w:val="2E3A4A"/>
          <w:sz w:val="21"/>
          <w:szCs w:val="21"/>
        </w:rPr>
        <w:t xml:space="preserve">Checklist: What your purchasing office needs from us. Purchase orders accepted. Invoices carry your PO number. Net 45 terms. W-9 and certificate of insurance on request, before or with the quote. Sole source letter provided on company letterhead. EZ Voice LLC is the copyright owner of EZvoxa Pro. Vendor application forms completed on request. For Florida districts: computer software bought directly from the copyright owner is exempt from competitive solicitation under Florida Administrative Code Rule 6A-1.012.</w:t>
      </w:r>
    </w:p>
    <w:p>
      <w:pPr>
        <w:spacing w:after="100"/>
        <w:ind w:left="540"/>
      </w:pPr>
      <w:r>
        <w:rPr>
          <w:rFonts w:ascii="Calibri" w:cs="Calibri" w:eastAsia="Calibri" w:hAnsi="Calibri"/>
          <w:i/>
          <w:iCs/>
          <w:color w:val="2E3A4A"/>
          <w:sz w:val="21"/>
          <w:szCs w:val="21"/>
        </w:rPr>
        <w:t xml:space="preserve">Small type: Purchasing thresholds and forms vary by district. Send us yours and we will follow them.</w:t>
      </w:r>
    </w:p>
    <w:p>
      <w:pPr>
        <w:pStyle w:val="Heading2"/>
        <w:spacing w:after="100" w:before="240"/>
      </w:pPr>
      <w:r>
        <w:rPr>
          <w:rFonts w:ascii="Calibri" w:cs="Calibri" w:eastAsia="Calibri" w:hAnsi="Calibri"/>
        </w:rPr>
        <w:t xml:space="preserve">Security and privacy (dark navy)</w:t>
      </w:r>
    </w:p>
    <w:p>
      <w:pPr>
        <w:spacing w:after="100"/>
        <w:ind w:left="540"/>
      </w:pPr>
      <w:r>
        <w:rPr>
          <w:rFonts w:ascii="Calibri" w:cs="Calibri" w:eastAsia="Calibri" w:hAnsi="Calibri"/>
          <w:i/>
          <w:iCs/>
          <w:color w:val="2E3A4A"/>
          <w:sz w:val="21"/>
          <w:szCs w:val="21"/>
        </w:rPr>
        <w:t xml:space="preserve">SECURITY AND PRIVACY. No student data. That is a design rule, not a setting.</w:t>
      </w:r>
    </w:p>
    <w:p>
      <w:pPr>
        <w:spacing w:after="100"/>
        <w:ind w:left="540"/>
      </w:pPr>
      <w:r>
        <w:rPr>
          <w:rFonts w:ascii="Calibri" w:cs="Calibri" w:eastAsia="Calibri" w:hAnsi="Calibri"/>
          <w:i/>
          <w:iCs/>
          <w:color w:val="2E3A4A"/>
          <w:sz w:val="21"/>
          <w:szCs w:val="21"/>
        </w:rPr>
        <w:t xml:space="preserve">No student names, records or identifiers on our servers, ever. The app’s data stays on the device. / Our server holds only your organization, its seat count, its administrators, its devices by join code, and its orders. / Portal sign-in by emailed link. No passwords to leak. Sessions expire. Every action is logged with who and when. / Join codes expire and are single-use per device. Remove a device from the portal and its seat is freed and that device is locked. / Purchase orders, invoices, W-9 and insurance certificate are stored in your portal, so your purchasing office gets everything from one page.</w:t>
      </w:r>
    </w:p>
    <w:p>
      <w:pPr>
        <w:spacing w:after="100"/>
        <w:ind w:left="540"/>
      </w:pPr>
      <w:r>
        <w:rPr>
          <w:rFonts w:ascii="Calibri" w:cs="Calibri" w:eastAsia="Calibri" w:hAnsi="Calibri"/>
          <w:i/>
          <w:iCs/>
          <w:color w:val="2E3A4A"/>
          <w:sz w:val="21"/>
          <w:szCs w:val="21"/>
        </w:rPr>
        <w:t xml:space="preserve">Right column: EZvoxa Pro contains no family features: no texting, no family alerts, no shared contacts, no location. Those belong to the family edition and are not in the school build. Read the privacy policy. EZvoxa helps someone communicate. It is not a medical device and does not replace 911.</w:t>
      </w:r>
    </w:p>
    <w:p>
      <w:pPr>
        <w:pStyle w:val="Heading2"/>
        <w:spacing w:after="100" w:before="240"/>
      </w:pPr>
      <w:r>
        <w:rPr>
          <w:rFonts w:ascii="Calibri" w:cs="Calibri" w:eastAsia="Calibri" w:hAnsi="Calibri"/>
        </w:rPr>
        <w:t xml:space="preserve">Referral program (light grey)</w:t>
      </w:r>
    </w:p>
    <w:p>
      <w:pPr>
        <w:spacing w:after="100"/>
        <w:ind w:left="540"/>
      </w:pPr>
      <w:r>
        <w:rPr>
          <w:rFonts w:ascii="Calibri" w:cs="Calibri" w:eastAsia="Calibri" w:hAnsi="Calibri"/>
          <w:i/>
          <w:iCs/>
          <w:color w:val="2E3A4A"/>
          <w:sz w:val="21"/>
          <w:szCs w:val="21"/>
        </w:rPr>
        <w:t xml:space="preserve">REFERRAL PROGRAM. Bring in a district, earn a credit. A district that brings in another district earns a credit on its next order. We record who referred whom, so the credit is applied automatically when the second district’s order is paid. Terms are set on your quote.</w:t>
      </w:r>
    </w:p>
    <w:p>
      <w:pPr>
        <w:pStyle w:val="Heading2"/>
        <w:spacing w:after="100" w:before="240"/>
      </w:pPr>
      <w:r>
        <w:rPr>
          <w:rFonts w:ascii="Calibri" w:cs="Calibri" w:eastAsia="Calibri" w:hAnsi="Calibri"/>
        </w:rPr>
        <w:t xml:space="preserve">Get started (white, two forms side by side)</w:t>
      </w:r>
    </w:p>
    <w:p>
      <w:pPr>
        <w:spacing w:after="100"/>
        <w:ind w:left="540"/>
      </w:pPr>
      <w:r>
        <w:rPr>
          <w:rFonts w:ascii="Calibri" w:cs="Calibri" w:eastAsia="Calibri" w:hAnsi="Calibri"/>
          <w:i/>
          <w:iCs/>
          <w:color w:val="2E3A4A"/>
          <w:sz w:val="21"/>
          <w:szCs w:val="21"/>
        </w:rPr>
        <w:t xml:space="preserve">GET STARTED. Request a quote, or start a pilot. Both go straight to the founder, not a sales queue.</w:t>
      </w:r>
    </w:p>
    <w:p>
      <w:pPr>
        <w:spacing w:after="120"/>
      </w:pPr>
      <w:r>
        <w:rPr>
          <w:rFonts w:ascii="Calibri" w:cs="Calibri" w:eastAsia="Calibri" w:hAnsi="Calibri"/>
          <w:sz w:val="22"/>
          <w:szCs w:val="22"/>
        </w:rPr>
        <w:t xml:space="preserve">Request a quote fields: organization name; type (public school district, private school, clinic or rehab center, other); state; contact name; title; work email; phone; students or patients who cannot rely on speech (ranges 1 to 10 up to more than 250, or not sure yet); devices in use (iPad, iPhone, Android, mixed, none yet); how did you hear of us (another district or clinic, a parent, a teacher or therapist, search, conference or event, other); referred by; anything else. Button: Send the quote request.</w:t>
      </w:r>
    </w:p>
    <w:p>
      <w:pPr>
        <w:spacing w:after="120"/>
      </w:pPr>
      <w:r>
        <w:rPr>
          <w:rFonts w:ascii="Calibri" w:cs="Calibri" w:eastAsia="Calibri" w:hAnsi="Calibri"/>
          <w:sz w:val="22"/>
          <w:szCs w:val="22"/>
        </w:rPr>
        <w:t xml:space="preserve">Start a pilot fields: the same, plus pilot seats (1 to 5, 6 to 10, 11 to 20, more than 20) and classroom or program. Its introduction: A pilot is a set number of seats at no charge for a set period, in one classroom or program. It converts to an order without re-entry. Button: Send the pilot request.</w:t>
      </w:r>
    </w:p>
    <w:p>
      <w:pPr>
        <w:spacing w:after="120"/>
      </w:pPr>
      <w:r>
        <w:rPr>
          <w:rFonts w:ascii="Calibri" w:cs="Calibri" w:eastAsia="Calibri" w:hAnsi="Calibri"/>
          <w:sz w:val="22"/>
          <w:szCs w:val="22"/>
        </w:rPr>
        <w:t xml:space="preserve">No prices on either form. A hidden honeypot field catches bots. On success the form clears and shows “Quote request received. We will be in touch.” (or the pilot wording). Under both forms: Nothing you enter here is shared or sold. It goes to EZ Voice LLC and nowhere else.</w:t>
      </w:r>
    </w:p>
    <w:p>
      <w:pPr>
        <w:pStyle w:val="Heading2"/>
        <w:spacing w:after="100" w:before="240"/>
      </w:pPr>
      <w:r>
        <w:rPr>
          <w:rFonts w:ascii="Calibri" w:cs="Calibri" w:eastAsia="Calibri" w:hAnsi="Calibri"/>
        </w:rPr>
        <w:t xml:space="preserve">Footer</w:t>
      </w:r>
    </w:p>
    <w:p>
      <w:pPr>
        <w:spacing w:after="120"/>
      </w:pPr>
      <w:r>
        <w:rPr>
          <w:rFonts w:ascii="Calibri" w:cs="Calibri" w:eastAsia="Calibri" w:hAnsi="Calibri"/>
          <w:sz w:val="22"/>
          <w:szCs w:val="22"/>
        </w:rPr>
        <w:t xml:space="preserve">The site’s existing footer, with the right-hand link reading Privacy · Schools and clinics.</w:t>
      </w:r>
    </w:p>
    <w:p>
      <w:pPr>
        <w:pStyle w:val="Heading1"/>
        <w:spacing w:after="120" w:before="320"/>
      </w:pPr>
      <w:r>
        <w:rPr>
          <w:rFonts w:ascii="Calibri" w:cs="Calibri" w:eastAsia="Calibri" w:hAnsi="Calibri"/>
        </w:rPr>
        <w:t xml:space="preserve">4. Sources behind the three figures</w:t>
      </w:r>
    </w:p>
    <w:p>
      <w:pPr>
        <w:pStyle w:val="ListParagraph"/>
        <w:numPr>
          <w:ilvl w:val="0"/>
          <w:numId w:val="2"/>
        </w:numPr>
        <w:spacing w:after="80"/>
      </w:pPr>
      <w:r>
        <w:rPr>
          <w:rFonts w:ascii="Calibri" w:cs="Calibri" w:eastAsia="Calibri" w:hAnsi="Calibri"/>
          <w:sz w:val="22"/>
          <w:szCs w:val="22"/>
        </w:rPr>
        <w:t xml:space="preserve">Card 1: National Center for Education Statistics, Digest of Education Statistics, table 204.30 (students served under IDEA by disability type). App release years from Apple’s App Store listings: Proloquo2Go 2009, TouchChat 2010, LAMP Words for Life 2012.</w:t>
      </w:r>
    </w:p>
    <w:p>
      <w:pPr>
        <w:pStyle w:val="ListParagraph"/>
        <w:numPr>
          <w:ilvl w:val="0"/>
          <w:numId w:val="2"/>
        </w:numPr>
        <w:spacing w:after="80"/>
      </w:pPr>
      <w:r>
        <w:rPr>
          <w:rFonts w:ascii="Calibri" w:cs="Calibri" w:eastAsia="Calibri" w:hAnsi="Calibri"/>
          <w:sz w:val="22"/>
          <w:szCs w:val="22"/>
        </w:rPr>
        <w:t xml:space="preserve">Card 2: US Department of Education, IDEA Section 618 Part B child count, state-level files, data.ed.gov. Florida, ages 6 to 21, autism: 2005 7,918; 2024 58,848. All disabilities: 2005 364,566; 2024 406,711.</w:t>
      </w:r>
    </w:p>
    <w:p>
      <w:pPr>
        <w:pStyle w:val="ListParagraph"/>
        <w:numPr>
          <w:ilvl w:val="0"/>
          <w:numId w:val="2"/>
        </w:numPr>
        <w:spacing w:after="80"/>
      </w:pPr>
      <w:r>
        <w:rPr>
          <w:rFonts w:ascii="Calibri" w:cs="Calibri" w:eastAsia="Calibri" w:hAnsi="Calibri"/>
          <w:sz w:val="22"/>
          <w:szCs w:val="22"/>
        </w:rPr>
        <w:t xml:space="preserve">Card 3: US Department of Education, IDEA Section 618 Part B child count, LEA-level files, 2020-21 through 2024-25. St. Lucie County, school-age autism: 579 to 1,035; school-age students with disabilities 5,383 to 6,692.</w:t>
      </w:r>
    </w:p>
    <w:p>
      <w:pPr>
        <w:spacing w:after="120"/>
      </w:pPr>
      <w:r>
        <w:rPr>
          <w:rFonts w:ascii="Calibri" w:cs="Calibri" w:eastAsia="Calibri" w:hAnsi="Calibri"/>
          <w:sz w:val="22"/>
          <w:szCs w:val="22"/>
        </w:rPr>
        <w:t xml:space="preserve">If a figure is changed, its source line changes with it. If a figure cannot be sourced, it comes off the page.</w:t>
      </w:r>
    </w:p>
    <w:p>
      <w:pPr>
        <w:pStyle w:val="Heading1"/>
        <w:spacing w:after="120" w:before="320"/>
      </w:pPr>
      <w:r>
        <w:rPr>
          <w:rFonts w:ascii="Calibri" w:cs="Calibri" w:eastAsia="Calibri" w:hAnsi="Calibri"/>
        </w:rPr>
        <w:t xml:space="preserve">5. Design: what is used and what must stay</w:t>
      </w:r>
    </w:p>
    <w:p>
      <w:pPr>
        <w:pStyle w:val="ListParagraph"/>
        <w:numPr>
          <w:ilvl w:val="0"/>
          <w:numId w:val="2"/>
        </w:numPr>
        <w:spacing w:after="80"/>
      </w:pPr>
      <w:r>
        <w:rPr>
          <w:rFonts w:ascii="Calibri" w:cs="Calibri" w:eastAsia="Calibri" w:hAnsi="Calibri"/>
          <w:sz w:val="22"/>
          <w:szCs w:val="22"/>
        </w:rPr>
        <w:t xml:space="preserve">Brand tokens from site.css, unchanged: navy #07192f and #0b2746, cyan #13d5f2, orange #f58025, ink #142033, muted #687487, paper #f6f7f9, line #dbe2e9. Type: Atkinson Hyperlegible, as on the rest of the site.</w:t>
      </w:r>
    </w:p>
    <w:p>
      <w:pPr>
        <w:pStyle w:val="ListParagraph"/>
        <w:numPr>
          <w:ilvl w:val="0"/>
          <w:numId w:val="2"/>
        </w:numPr>
        <w:spacing w:after="80"/>
      </w:pPr>
      <w:r>
        <w:rPr>
          <w:rFonts w:ascii="Calibri" w:cs="Calibri" w:eastAsia="Calibri" w:hAnsi="Calibri"/>
          <w:sz w:val="22"/>
          <w:szCs w:val="22"/>
        </w:rPr>
        <w:t xml:space="preserve">Reused site classes: topbar, mainnav, join-logo, menu-btn, section (white, light, dark), wrap wide (1360px), kicker, lead, btn (cyan, alt), form-card, form-grid, footer.</w:t>
      </w:r>
    </w:p>
    <w:p>
      <w:pPr>
        <w:pStyle w:val="ListParagraph"/>
        <w:numPr>
          <w:ilvl w:val="0"/>
          <w:numId w:val="2"/>
        </w:numPr>
        <w:spacing w:after="80"/>
      </w:pPr>
      <w:r>
        <w:rPr>
          <w:rFonts w:ascii="Calibri" w:cs="Calibri" w:eastAsia="Calibri" w:hAnsi="Calibri"/>
          <w:sz w:val="22"/>
          <w:szCs w:val="22"/>
        </w:rPr>
        <w:t xml:space="preserve">Page-only classes, all prefixed sc- and held in a style block at the top of schools.html so they lift out in one piece: sc-hero, sc-video, sc-proof, sc-num, sc-src, sc-cols, sc-two, sc-price, sc-list, sc-forms, sc-form.</w:t>
      </w:r>
    </w:p>
    <w:p>
      <w:pPr>
        <w:pStyle w:val="ListParagraph"/>
        <w:numPr>
          <w:ilvl w:val="0"/>
          <w:numId w:val="2"/>
        </w:numPr>
        <w:spacing w:after="80"/>
      </w:pPr>
      <w:r>
        <w:rPr>
          <w:rFonts w:ascii="Calibri" w:cs="Calibri" w:eastAsia="Calibri" w:hAnsi="Calibri"/>
          <w:sz w:val="22"/>
          <w:szCs w:val="22"/>
        </w:rPr>
        <w:t xml:space="preserve">Section rhythm: 72px top and bottom on desktop, 56px on phones. Cards use the site’s 22px radius and 1px line border. One container per element; no box inside a box.</w:t>
      </w:r>
    </w:p>
    <w:p>
      <w:pPr>
        <w:pStyle w:val="ListParagraph"/>
        <w:numPr>
          <w:ilvl w:val="0"/>
          <w:numId w:val="2"/>
        </w:numPr>
        <w:spacing w:after="80"/>
      </w:pPr>
      <w:r>
        <w:rPr>
          <w:rFonts w:ascii="Calibri" w:cs="Calibri" w:eastAsia="Calibri" w:hAnsi="Calibri"/>
          <w:sz w:val="22"/>
          <w:szCs w:val="22"/>
        </w:rPr>
        <w:t xml:space="preserve">Red is not used anywhere in the section. Nothing of Evan appears: no photo, no name, no story. The pilot is described as a Florida district.</w:t>
      </w:r>
    </w:p>
    <w:p>
      <w:pPr>
        <w:pStyle w:val="Heading1"/>
        <w:spacing w:after="120" w:before="320"/>
      </w:pPr>
      <w:r>
        <w:rPr>
          <w:rFonts w:ascii="Calibri" w:cs="Calibri" w:eastAsia="Calibri" w:hAnsi="Calibri"/>
        </w:rPr>
        <w:t xml:space="preserve">6. Responsive behavior, as built and measured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300"/>
        <w:gridCol w:w="1500"/>
        <w:gridCol w:w="2300"/>
        <w:gridCol w:w="1000"/>
      </w:tblGrid>
      <w:tr>
        <w:tc>
          <w:tcPr>
            <w:tcW w:type="dxa" w:w="1500"/>
            <w:shd w:fill="E8E3DA" w:color="auto" w:val="clear"/>
            <w:tcMar>
              <w:top w:type="dxa" w:w="50"/>
              <w:left w:type="dxa" w:w="70"/>
              <w:bottom w:type="dxa" w:w="50"/>
              <w:right w:type="dxa" w:w="70"/>
            </w:tcMar>
          </w:tcPr>
          <w:p>
            <w:r>
              <w:rPr>
                <w:rFonts w:ascii="Calibri" w:cs="Calibri" w:eastAsia="Calibri" w:hAnsi="Calibri"/>
                <w:b/>
                <w:bCs/>
                <w:sz w:val="17"/>
                <w:szCs w:val="17"/>
              </w:rPr>
              <w:t xml:space="preserve">Width</w:t>
            </w:r>
          </w:p>
        </w:tc>
        <w:tc>
          <w:tcPr>
            <w:tcW w:type="dxa" w:w="2400"/>
            <w:shd w:fill="E8E3DA" w:color="auto" w:val="clear"/>
            <w:tcMar>
              <w:top w:type="dxa" w:w="50"/>
              <w:left w:type="dxa" w:w="70"/>
              <w:bottom w:type="dxa" w:w="50"/>
              <w:right w:type="dxa" w:w="70"/>
            </w:tcMar>
          </w:tcPr>
          <w:p>
            <w:r>
              <w:rPr>
                <w:rFonts w:ascii="Calibri" w:cs="Calibri" w:eastAsia="Calibri" w:hAnsi="Calibri"/>
                <w:b/>
                <w:bCs/>
                <w:sz w:val="17"/>
                <w:szCs w:val="17"/>
              </w:rPr>
              <w:t xml:space="preserve">Hero</w:t>
            </w:r>
          </w:p>
        </w:tc>
        <w:tc>
          <w:tcPr>
            <w:tcW w:type="dxa" w:w="1300"/>
            <w:shd w:fill="E8E3DA" w:color="auto" w:val="clear"/>
            <w:tcMar>
              <w:top w:type="dxa" w:w="50"/>
              <w:left w:type="dxa" w:w="70"/>
              <w:bottom w:type="dxa" w:w="50"/>
              <w:right w:type="dxa" w:w="70"/>
            </w:tcMar>
          </w:tcPr>
          <w:p>
            <w:r>
              <w:rPr>
                <w:rFonts w:ascii="Calibri" w:cs="Calibri" w:eastAsia="Calibri" w:hAnsi="Calibri"/>
                <w:b/>
                <w:bCs/>
                <w:sz w:val="17"/>
                <w:szCs w:val="17"/>
              </w:rPr>
              <w:t xml:space="preserve">Proof cards</w:t>
            </w:r>
          </w:p>
        </w:tc>
        <w:tc>
          <w:tcPr>
            <w:tcW w:type="dxa" w:w="1500"/>
            <w:shd w:fill="E8E3DA" w:color="auto" w:val="clear"/>
            <w:tcMar>
              <w:top w:type="dxa" w:w="50"/>
              <w:left w:type="dxa" w:w="70"/>
              <w:bottom w:type="dxa" w:w="50"/>
              <w:right w:type="dxa" w:w="70"/>
            </w:tcMar>
          </w:tcPr>
          <w:p>
            <w:r>
              <w:rPr>
                <w:rFonts w:ascii="Calibri" w:cs="Calibri" w:eastAsia="Calibri" w:hAnsi="Calibri"/>
                <w:b/>
                <w:bCs/>
                <w:sz w:val="17"/>
                <w:szCs w:val="17"/>
              </w:rPr>
              <w:t xml:space="preserve">Install columns</w:t>
            </w:r>
          </w:p>
        </w:tc>
        <w:tc>
          <w:tcPr>
            <w:tcW w:type="dxa" w:w="2300"/>
            <w:shd w:fill="E8E3DA" w:color="auto" w:val="clear"/>
            <w:tcMar>
              <w:top w:type="dxa" w:w="50"/>
              <w:left w:type="dxa" w:w="70"/>
              <w:bottom w:type="dxa" w:w="50"/>
              <w:right w:type="dxa" w:w="70"/>
            </w:tcMar>
          </w:tcPr>
          <w:p>
            <w:r>
              <w:rPr>
                <w:rFonts w:ascii="Calibri" w:cs="Calibri" w:eastAsia="Calibri" w:hAnsi="Calibri"/>
                <w:b/>
                <w:bCs/>
                <w:sz w:val="17"/>
                <w:szCs w:val="17"/>
              </w:rPr>
              <w:t xml:space="preserve">Forms</w:t>
            </w:r>
          </w:p>
        </w:tc>
        <w:tc>
          <w:tcPr>
            <w:tcW w:type="dxa" w:w="1000"/>
            <w:shd w:fill="E8E3DA" w:color="auto" w:val="clear"/>
            <w:tcMar>
              <w:top w:type="dxa" w:w="50"/>
              <w:left w:type="dxa" w:w="70"/>
              <w:bottom w:type="dxa" w:w="50"/>
              <w:right w:type="dxa" w:w="70"/>
            </w:tcMar>
          </w:tcPr>
          <w:p>
            <w:r>
              <w:rPr>
                <w:rFonts w:ascii="Calibri" w:cs="Calibri" w:eastAsia="Calibri" w:hAnsi="Calibri"/>
                <w:b/>
                <w:bCs/>
                <w:sz w:val="17"/>
                <w:szCs w:val="17"/>
              </w:rPr>
              <w:t xml:space="preserve">Menu</w:t>
            </w:r>
          </w:p>
        </w:tc>
      </w:tr>
      <w:tr>
        <w:tc>
          <w:tcPr>
            <w:tcW w:type="dxa" w:w="1500"/>
            <w:tcMar>
              <w:top w:type="dxa" w:w="50"/>
              <w:left w:type="dxa" w:w="70"/>
              <w:bottom w:type="dxa" w:w="50"/>
              <w:right w:type="dxa" w:w="70"/>
            </w:tcMar>
          </w:tcPr>
          <w:p>
            <w:r>
              <w:rPr>
                <w:rFonts w:ascii="Calibri" w:cs="Calibri" w:eastAsia="Calibri" w:hAnsi="Calibri"/>
                <w:b w:val="false"/>
                <w:bCs w:val="false"/>
                <w:sz w:val="17"/>
                <w:szCs w:val="17"/>
              </w:rPr>
              <w:t xml:space="preserve">1400 (desktop)</w:t>
            </w:r>
          </w:p>
        </w:tc>
        <w:tc>
          <w:tcPr>
            <w:tcW w:type="dxa" w:w="2400"/>
            <w:tcMar>
              <w:top w:type="dxa" w:w="50"/>
              <w:left w:type="dxa" w:w="70"/>
              <w:bottom w:type="dxa" w:w="50"/>
              <w:right w:type="dxa" w:w="70"/>
            </w:tcMar>
          </w:tcPr>
          <w:p>
            <w:r>
              <w:rPr>
                <w:rFonts w:ascii="Calibri" w:cs="Calibri" w:eastAsia="Calibri" w:hAnsi="Calibri"/>
                <w:b w:val="false"/>
                <w:bCs w:val="false"/>
                <w:sz w:val="17"/>
                <w:szCs w:val="17"/>
              </w:rPr>
              <w:t xml:space="preserve">copy left, video right, 516px wide</w:t>
            </w:r>
          </w:p>
        </w:tc>
        <w:tc>
          <w:tcPr>
            <w:tcW w:type="dxa" w:w="1300"/>
            <w:tcMar>
              <w:top w:type="dxa" w:w="50"/>
              <w:left w:type="dxa" w:w="70"/>
              <w:bottom w:type="dxa" w:w="50"/>
              <w:right w:type="dxa" w:w="70"/>
            </w:tcMar>
          </w:tcPr>
          <w:p>
            <w:r>
              <w:rPr>
                <w:rFonts w:ascii="Calibri" w:cs="Calibri" w:eastAsia="Calibri" w:hAnsi="Calibri"/>
                <w:b w:val="false"/>
                <w:bCs w:val="false"/>
                <w:sz w:val="17"/>
                <w:szCs w:val="17"/>
              </w:rPr>
              <w:t xml:space="preserve">3 across</w:t>
            </w:r>
          </w:p>
        </w:tc>
        <w:tc>
          <w:tcPr>
            <w:tcW w:type="dxa" w:w="1500"/>
            <w:tcMar>
              <w:top w:type="dxa" w:w="50"/>
              <w:left w:type="dxa" w:w="70"/>
              <w:bottom w:type="dxa" w:w="50"/>
              <w:right w:type="dxa" w:w="70"/>
            </w:tcMar>
          </w:tcPr>
          <w:p>
            <w:r>
              <w:rPr>
                <w:rFonts w:ascii="Calibri" w:cs="Calibri" w:eastAsia="Calibri" w:hAnsi="Calibri"/>
                <w:b w:val="false"/>
                <w:bCs w:val="false"/>
                <w:sz w:val="17"/>
                <w:szCs w:val="17"/>
              </w:rPr>
              <w:t xml:space="preserve">3 across</w:t>
            </w:r>
          </w:p>
        </w:tc>
        <w:tc>
          <w:tcPr>
            <w:tcW w:type="dxa" w:w="2300"/>
            <w:tcMar>
              <w:top w:type="dxa" w:w="50"/>
              <w:left w:type="dxa" w:w="70"/>
              <w:bottom w:type="dxa" w:w="50"/>
              <w:right w:type="dxa" w:w="70"/>
            </w:tcMar>
          </w:tcPr>
          <w:p>
            <w:r>
              <w:rPr>
                <w:rFonts w:ascii="Calibri" w:cs="Calibri" w:eastAsia="Calibri" w:hAnsi="Calibri"/>
                <w:b w:val="false"/>
                <w:bCs w:val="false"/>
                <w:sz w:val="17"/>
                <w:szCs w:val="17"/>
              </w:rPr>
              <w:t xml:space="preserve">2 side by side, 2-column fields</w:t>
            </w:r>
          </w:p>
        </w:tc>
        <w:tc>
          <w:tcPr>
            <w:tcW w:type="dxa" w:w="1000"/>
            <w:tcMar>
              <w:top w:type="dxa" w:w="50"/>
              <w:left w:type="dxa" w:w="70"/>
              <w:bottom w:type="dxa" w:w="50"/>
              <w:right w:type="dxa" w:w="70"/>
            </w:tcMar>
          </w:tcPr>
          <w:p>
            <w:r>
              <w:rPr>
                <w:rFonts w:ascii="Calibri" w:cs="Calibri" w:eastAsia="Calibri" w:hAnsi="Calibri"/>
                <w:b w:val="false"/>
                <w:bCs w:val="false"/>
                <w:sz w:val="17"/>
                <w:szCs w:val="17"/>
              </w:rPr>
              <w:t xml:space="preserve">full menu</w:t>
            </w:r>
          </w:p>
        </w:tc>
      </w:tr>
      <w:tr>
        <w:tc>
          <w:tcPr>
            <w:tcW w:type="dxa" w:w="1500"/>
            <w:tcMar>
              <w:top w:type="dxa" w:w="50"/>
              <w:left w:type="dxa" w:w="70"/>
              <w:bottom w:type="dxa" w:w="50"/>
              <w:right w:type="dxa" w:w="70"/>
            </w:tcMar>
          </w:tcPr>
          <w:p>
            <w:r>
              <w:rPr>
                <w:rFonts w:ascii="Calibri" w:cs="Calibri" w:eastAsia="Calibri" w:hAnsi="Calibri"/>
                <w:b w:val="false"/>
                <w:bCs w:val="false"/>
                <w:sz w:val="17"/>
                <w:szCs w:val="17"/>
              </w:rPr>
              <w:t xml:space="preserve">900 (tablet)</w:t>
            </w:r>
          </w:p>
        </w:tc>
        <w:tc>
          <w:tcPr>
            <w:tcW w:type="dxa" w:w="2400"/>
            <w:tcMar>
              <w:top w:type="dxa" w:w="50"/>
              <w:left w:type="dxa" w:w="70"/>
              <w:bottom w:type="dxa" w:w="50"/>
              <w:right w:type="dxa" w:w="70"/>
            </w:tcMar>
          </w:tcPr>
          <w:p>
            <w:r>
              <w:rPr>
                <w:rFonts w:ascii="Calibri" w:cs="Calibri" w:eastAsia="Calibri" w:hAnsi="Calibri"/>
                <w:b w:val="false"/>
                <w:bCs w:val="false"/>
                <w:sz w:val="17"/>
                <w:szCs w:val="17"/>
              </w:rPr>
              <w:t xml:space="preserve">video on top, copy under it</w:t>
            </w:r>
          </w:p>
        </w:tc>
        <w:tc>
          <w:tcPr>
            <w:tcW w:type="dxa" w:w="1300"/>
            <w:tcMar>
              <w:top w:type="dxa" w:w="50"/>
              <w:left w:type="dxa" w:w="70"/>
              <w:bottom w:type="dxa" w:w="50"/>
              <w:right w:type="dxa" w:w="70"/>
            </w:tcMar>
          </w:tcPr>
          <w:p>
            <w:r>
              <w:rPr>
                <w:rFonts w:ascii="Calibri" w:cs="Calibri" w:eastAsia="Calibri" w:hAnsi="Calibri"/>
                <w:b w:val="false"/>
                <w:bCs w:val="false"/>
                <w:sz w:val="17"/>
                <w:szCs w:val="17"/>
              </w:rPr>
              <w:t xml:space="preserve">2 across</w:t>
            </w:r>
          </w:p>
        </w:tc>
        <w:tc>
          <w:tcPr>
            <w:tcW w:type="dxa" w:w="1500"/>
            <w:tcMar>
              <w:top w:type="dxa" w:w="50"/>
              <w:left w:type="dxa" w:w="70"/>
              <w:bottom w:type="dxa" w:w="50"/>
              <w:right w:type="dxa" w:w="70"/>
            </w:tcMar>
          </w:tcPr>
          <w:p>
            <w:r>
              <w:rPr>
                <w:rFonts w:ascii="Calibri" w:cs="Calibri" w:eastAsia="Calibri" w:hAnsi="Calibri"/>
                <w:b w:val="false"/>
                <w:bCs w:val="false"/>
                <w:sz w:val="17"/>
                <w:szCs w:val="17"/>
              </w:rPr>
              <w:t xml:space="preserve">2 across</w:t>
            </w:r>
          </w:p>
        </w:tc>
        <w:tc>
          <w:tcPr>
            <w:tcW w:type="dxa" w:w="2300"/>
            <w:tcMar>
              <w:top w:type="dxa" w:w="50"/>
              <w:left w:type="dxa" w:w="70"/>
              <w:bottom w:type="dxa" w:w="50"/>
              <w:right w:type="dxa" w:w="70"/>
            </w:tcMar>
          </w:tcPr>
          <w:p>
            <w:r>
              <w:rPr>
                <w:rFonts w:ascii="Calibri" w:cs="Calibri" w:eastAsia="Calibri" w:hAnsi="Calibri"/>
                <w:b w:val="false"/>
                <w:bCs w:val="false"/>
                <w:sz w:val="17"/>
                <w:szCs w:val="17"/>
              </w:rPr>
              <w:t xml:space="preserve">stacked, 1-column fields</w:t>
            </w:r>
          </w:p>
        </w:tc>
        <w:tc>
          <w:tcPr>
            <w:tcW w:type="dxa" w:w="1000"/>
            <w:tcMar>
              <w:top w:type="dxa" w:w="50"/>
              <w:left w:type="dxa" w:w="70"/>
              <w:bottom w:type="dxa" w:w="50"/>
              <w:right w:type="dxa" w:w="70"/>
            </w:tcMar>
          </w:tcPr>
          <w:p>
            <w:r>
              <w:rPr>
                <w:rFonts w:ascii="Calibri" w:cs="Calibri" w:eastAsia="Calibri" w:hAnsi="Calibri"/>
                <w:b w:val="false"/>
                <w:bCs w:val="false"/>
                <w:sz w:val="17"/>
                <w:szCs w:val="17"/>
              </w:rPr>
              <w:t xml:space="preserve">hamburger</w:t>
            </w:r>
          </w:p>
        </w:tc>
      </w:tr>
      <w:tr>
        <w:tc>
          <w:tcPr>
            <w:tcW w:type="dxa" w:w="1500"/>
            <w:tcMar>
              <w:top w:type="dxa" w:w="50"/>
              <w:left w:type="dxa" w:w="70"/>
              <w:bottom w:type="dxa" w:w="50"/>
              <w:right w:type="dxa" w:w="70"/>
            </w:tcMar>
          </w:tcPr>
          <w:p>
            <w:r>
              <w:rPr>
                <w:rFonts w:ascii="Calibri" w:cs="Calibri" w:eastAsia="Calibri" w:hAnsi="Calibri"/>
                <w:b w:val="false"/>
                <w:bCs w:val="false"/>
                <w:sz w:val="17"/>
                <w:szCs w:val="17"/>
              </w:rPr>
              <w:t xml:space="preserve">430 (phone)</w:t>
            </w:r>
          </w:p>
        </w:tc>
        <w:tc>
          <w:tcPr>
            <w:tcW w:type="dxa" w:w="2400"/>
            <w:tcMar>
              <w:top w:type="dxa" w:w="50"/>
              <w:left w:type="dxa" w:w="70"/>
              <w:bottom w:type="dxa" w:w="50"/>
              <w:right w:type="dxa" w:w="70"/>
            </w:tcMar>
          </w:tcPr>
          <w:p>
            <w:r>
              <w:rPr>
                <w:rFonts w:ascii="Calibri" w:cs="Calibri" w:eastAsia="Calibri" w:hAnsi="Calibri"/>
                <w:b w:val="false"/>
                <w:bCs w:val="false"/>
                <w:sz w:val="17"/>
                <w:szCs w:val="17"/>
              </w:rPr>
              <w:t xml:space="preserve">video on top, buttons full width</w:t>
            </w:r>
          </w:p>
        </w:tc>
        <w:tc>
          <w:tcPr>
            <w:tcW w:type="dxa" w:w="1300"/>
            <w:tcMar>
              <w:top w:type="dxa" w:w="50"/>
              <w:left w:type="dxa" w:w="70"/>
              <w:bottom w:type="dxa" w:w="50"/>
              <w:right w:type="dxa" w:w="70"/>
            </w:tcMar>
          </w:tcPr>
          <w:p>
            <w:r>
              <w:rPr>
                <w:rFonts w:ascii="Calibri" w:cs="Calibri" w:eastAsia="Calibri" w:hAnsi="Calibri"/>
                <w:b w:val="false"/>
                <w:bCs w:val="false"/>
                <w:sz w:val="17"/>
                <w:szCs w:val="17"/>
              </w:rPr>
              <w:t xml:space="preserve">1 across</w:t>
            </w:r>
          </w:p>
        </w:tc>
        <w:tc>
          <w:tcPr>
            <w:tcW w:type="dxa" w:w="1500"/>
            <w:tcMar>
              <w:top w:type="dxa" w:w="50"/>
              <w:left w:type="dxa" w:w="70"/>
              <w:bottom w:type="dxa" w:w="50"/>
              <w:right w:type="dxa" w:w="70"/>
            </w:tcMar>
          </w:tcPr>
          <w:p>
            <w:r>
              <w:rPr>
                <w:rFonts w:ascii="Calibri" w:cs="Calibri" w:eastAsia="Calibri" w:hAnsi="Calibri"/>
                <w:b w:val="false"/>
                <w:bCs w:val="false"/>
                <w:sz w:val="17"/>
                <w:szCs w:val="17"/>
              </w:rPr>
              <w:t xml:space="preserve">1 across</w:t>
            </w:r>
          </w:p>
        </w:tc>
        <w:tc>
          <w:tcPr>
            <w:tcW w:type="dxa" w:w="2300"/>
            <w:tcMar>
              <w:top w:type="dxa" w:w="50"/>
              <w:left w:type="dxa" w:w="70"/>
              <w:bottom w:type="dxa" w:w="50"/>
              <w:right w:type="dxa" w:w="70"/>
            </w:tcMar>
          </w:tcPr>
          <w:p>
            <w:r>
              <w:rPr>
                <w:rFonts w:ascii="Calibri" w:cs="Calibri" w:eastAsia="Calibri" w:hAnsi="Calibri"/>
                <w:b w:val="false"/>
                <w:bCs w:val="false"/>
                <w:sz w:val="17"/>
                <w:szCs w:val="17"/>
              </w:rPr>
              <w:t xml:space="preserve">stacked, 1-column fields</w:t>
            </w:r>
          </w:p>
        </w:tc>
        <w:tc>
          <w:tcPr>
            <w:tcW w:type="dxa" w:w="1000"/>
            <w:tcMar>
              <w:top w:type="dxa" w:w="50"/>
              <w:left w:type="dxa" w:w="70"/>
              <w:bottom w:type="dxa" w:w="50"/>
              <w:right w:type="dxa" w:w="70"/>
            </w:tcMar>
          </w:tcPr>
          <w:p>
            <w:r>
              <w:rPr>
                <w:rFonts w:ascii="Calibri" w:cs="Calibri" w:eastAsia="Calibri" w:hAnsi="Calibri"/>
                <w:b w:val="false"/>
                <w:bCs w:val="false"/>
                <w:sz w:val="17"/>
                <w:szCs w:val="17"/>
              </w:rPr>
              <w:t xml:space="preserve">hamburger</w:t>
            </w:r>
          </w:p>
        </w:tc>
      </w:tr>
    </w:tbl>
    <w:p>
      <w:pPr>
        <w:spacing w:after="120"/>
      </w:pPr>
      <w:r>
        <w:rPr>
          <w:rFonts w:ascii="Calibri" w:cs="Calibri" w:eastAsia="Calibri" w:hAnsi="Calibri"/>
          <w:sz w:val="22"/>
          <w:szCs w:val="22"/>
        </w:rPr>
        <w:t xml:space="preserve">Breakpoints in the page style block: 1024px, 768px and 590px, on top of the site’s own 1150px, 900px and 590px rules. No horizontal scrolling at any of the three widths; the page body never scrolls sideways. Measured with a headless browser on 9 September 2026.</w:t>
      </w:r>
    </w:p>
    <w:p>
      <w:pPr>
        <w:pStyle w:val="Heading1"/>
        <w:spacing w:after="120" w:before="320"/>
      </w:pPr>
      <w:r>
        <w:rPr>
          <w:rFonts w:ascii="Calibri" w:cs="Calibri" w:eastAsia="Calibri" w:hAnsi="Calibri"/>
        </w:rPr>
        <w:t xml:space="preserve">7. What happens when a form is sent</w:t>
      </w:r>
    </w:p>
    <w:p>
      <w:pPr>
        <w:pStyle w:val="ListParagraph"/>
        <w:numPr>
          <w:ilvl w:val="0"/>
          <w:numId w:val="2"/>
        </w:numPr>
        <w:spacing w:after="80"/>
      </w:pPr>
      <w:r>
        <w:rPr>
          <w:rFonts w:ascii="Calibri" w:cs="Calibri" w:eastAsia="Calibri" w:hAnsi="Calibri"/>
          <w:sz w:val="22"/>
          <w:szCs w:val="22"/>
        </w:rPr>
        <w:t xml:space="preserve">The page posts JSON to api/quote on our Vercel project. The server checks the origin (ezvoxa.com, www, app.ezvoxa.com, ez-comm-tether.vercel.app), rejects a filled honeypot, requires organization, contact name, state and a valid email, and allows five requests per address per hour.</w:t>
      </w:r>
    </w:p>
    <w:p>
      <w:pPr>
        <w:pStyle w:val="ListParagraph"/>
        <w:numPr>
          <w:ilvl w:val="0"/>
          <w:numId w:val="2"/>
        </w:numPr>
        <w:spacing w:after="80"/>
      </w:pPr>
      <w:r>
        <w:rPr>
          <w:rFonts w:ascii="Calibri" w:cs="Calibri" w:eastAsia="Calibri" w:hAnsi="Calibri"/>
          <w:sz w:val="22"/>
          <w:szCs w:val="22"/>
        </w:rPr>
        <w:t xml:space="preserve">Each request is stored in the same Upstash store Family Sync uses, under the key ezvoxa:quotes, and emailed to the address in the QUOTE_EMAIL_TO environment variable with the requester as reply-to. If that variable is not set the request is still stored and nothing is emailed.</w:t>
      </w:r>
    </w:p>
    <w:p>
      <w:pPr>
        <w:pStyle w:val="ListParagraph"/>
        <w:numPr>
          <w:ilvl w:val="0"/>
          <w:numId w:val="2"/>
        </w:numPr>
        <w:spacing w:after="80"/>
      </w:pPr>
      <w:r>
        <w:rPr>
          <w:rFonts w:ascii="Calibri" w:cs="Calibri" w:eastAsia="Calibri" w:hAnsi="Calibri"/>
          <w:sz w:val="22"/>
          <w:szCs w:val="22"/>
        </w:rPr>
        <w:t xml:space="preserve">Frank reads the list back with the family password, the same way as the waitlist. The portal, when built, will read the same key.</w:t>
      </w:r>
    </w:p>
    <w:p>
      <w:pPr>
        <w:pStyle w:val="Heading1"/>
        <w:spacing w:after="120" w:before="320"/>
      </w:pPr>
      <w:r>
        <w:rPr>
          <w:rFonts w:ascii="Calibri" w:cs="Calibri" w:eastAsia="Calibri" w:hAnsi="Calibri"/>
        </w:rPr>
        <w:t xml:space="preserve">8. Two site forms that were not sending</w:t>
      </w:r>
    </w:p>
    <w:p>
      <w:pPr>
        <w:spacing w:after="120"/>
      </w:pPr>
      <w:r>
        <w:rPr>
          <w:rFonts w:ascii="Calibri" w:cs="Calibri" w:eastAsia="Calibri" w:hAnsi="Calibri"/>
          <w:sz w:val="22"/>
          <w:szCs w:val="22"/>
        </w:rPr>
        <w:t xml:space="preserve">While building this, I found that the existing forms on join.html (free registration) and professionals.html (professional inquiry) have no code behind them on the live site: site.js only handles the menu and the demo pictures, so pressing the button reloads the page and the entry is lost. The server endpoints for both exist and answer. The branch adds the missing code to site.js: the registration form posts to /app/api/waitlist and the inquiry form to /app/api/professional-inquiry, both same-origin through the site’s existing /app rewrite, and both show a plain status line. Nothing else in site.js changed.</w:t>
      </w:r>
    </w:p>
    <w:p>
      <w:pPr>
        <w:pStyle w:val="Heading1"/>
        <w:spacing w:after="120" w:before="320"/>
      </w:pPr>
      <w:r>
        <w:rPr>
          <w:rFonts w:ascii="Calibri" w:cs="Calibri" w:eastAsia="Calibri" w:hAnsi="Calibri"/>
        </w:rPr>
        <w:t xml:space="preserve">9. Open items for Frank</w:t>
      </w:r>
    </w:p>
    <w:p>
      <w:pPr>
        <w:pStyle w:val="ListParagraph"/>
        <w:numPr>
          <w:ilvl w:val="0"/>
          <w:numId w:val="3"/>
        </w:numPr>
        <w:spacing w:after="100"/>
      </w:pPr>
      <w:r>
        <w:rPr>
          <w:rFonts w:ascii="Calibri" w:cs="Calibri" w:eastAsia="Calibri" w:hAnsi="Calibri"/>
          <w:sz w:val="22"/>
          <w:szCs w:val="22"/>
        </w:rPr>
        <w:t xml:space="preserve">The list price per seat: one line in the price card, added when he confirms the price.</w:t>
      </w:r>
    </w:p>
    <w:p>
      <w:pPr>
        <w:pStyle w:val="ListParagraph"/>
        <w:numPr>
          <w:ilvl w:val="0"/>
          <w:numId w:val="3"/>
        </w:numPr>
        <w:spacing w:after="100"/>
      </w:pPr>
      <w:r>
        <w:rPr>
          <w:rFonts w:ascii="Calibri" w:cs="Calibri" w:eastAsia="Calibri" w:hAnsi="Calibri"/>
          <w:sz w:val="22"/>
          <w:szCs w:val="22"/>
        </w:rPr>
        <w:t xml:space="preserve">The narrated demo file, saved as pro-demo.mp4 in the site’s root.</w:t>
      </w:r>
    </w:p>
    <w:p>
      <w:pPr>
        <w:pStyle w:val="ListParagraph"/>
        <w:numPr>
          <w:ilvl w:val="0"/>
          <w:numId w:val="3"/>
        </w:numPr>
        <w:spacing w:after="100"/>
      </w:pPr>
      <w:r>
        <w:rPr>
          <w:rFonts w:ascii="Calibri" w:cs="Calibri" w:eastAsia="Calibri" w:hAnsi="Calibri"/>
          <w:sz w:val="22"/>
          <w:szCs w:val="22"/>
        </w:rPr>
        <w:t xml:space="preserve">Whether the menu item reads “Schools &amp; Clinics” and whether it goes on every page now or when the section goes live.</w:t>
      </w:r>
    </w:p>
    <w:p>
      <w:pPr>
        <w:pStyle w:val="ListParagraph"/>
        <w:numPr>
          <w:ilvl w:val="0"/>
          <w:numId w:val="3"/>
        </w:numPr>
        <w:spacing w:after="100"/>
      </w:pPr>
      <w:r>
        <w:rPr>
          <w:rFonts w:ascii="Calibri" w:cs="Calibri" w:eastAsia="Calibri" w:hAnsi="Calibri"/>
          <w:sz w:val="22"/>
          <w:szCs w:val="22"/>
        </w:rPr>
        <w:t xml:space="preserve">A reply-time promise on the forms, if he wants one. None is stated now.</w:t>
      </w:r>
    </w:p>
    <w:p>
      <w:pPr>
        <w:pStyle w:val="ListParagraph"/>
        <w:numPr>
          <w:ilvl w:val="0"/>
          <w:numId w:val="3"/>
        </w:numPr>
        <w:spacing w:after="100"/>
      </w:pPr>
      <w:r>
        <w:rPr>
          <w:rFonts w:ascii="Calibri" w:cs="Calibri" w:eastAsia="Calibri" w:hAnsi="Calibri"/>
          <w:sz w:val="22"/>
          <w:szCs w:val="22"/>
        </w:rPr>
        <w:t xml:space="preserve">The QUOTE_EMAIL_TO environment variable on Vercel, set to the address that should receive quote and pilot requests.</w:t>
      </w:r>
    </w:p>
    <w:p>
      <w:pPr>
        <w:pStyle w:val="ListParagraph"/>
        <w:numPr>
          <w:ilvl w:val="0"/>
          <w:numId w:val="3"/>
        </w:numPr>
        <w:spacing w:after="100"/>
      </w:pPr>
      <w:r>
        <w:rPr>
          <w:rFonts w:ascii="Calibri" w:cs="Calibri" w:eastAsia="Calibri" w:hAnsi="Calibri"/>
          <w:sz w:val="22"/>
          <w:szCs w:val="22"/>
        </w:rPr>
        <w:t xml:space="preserve">Merge of the schools-section branch into the website’s main once he has reviewed the preview on all three screen sizes.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2026-09-09T03:09:49.831Z</dcterms:created>
  <dcterms:modified xsi:type="dcterms:W3CDTF">2026-09-09T03:09:49.831Z</dcterms:modified>
</cp:coreProperties>
</file>

<file path=docProps/custom.xml><?xml version="1.0" encoding="utf-8"?>
<Properties xmlns="http://schemas.openxmlformats.org/officeDocument/2006/custom-properties" xmlns:vt="http://schemas.openxmlformats.org/officeDocument/2006/docPropsVTypes"/>
</file>