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000"/>
        <w:gridCol w:w="24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Cannot rely on speech (counted market)</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aphasia</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Everyone 13 and over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 ages 3 to 21 (2022-23)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ages 3 to 21 (13.0%). Shown for scale; the count used is the 2024-25 federal file's 13 through 21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autism students aged 13 through 21 (2024-25)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386,380 of 1,111,435 aged 5 through 21</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115,914</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40: a district's secondary schools and its 18 to 21 program at two or three seats a class, bought centrally. Claude's estimate, 9 Sep 2026;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130,753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rehab facility buys, 5. Claude's estimate;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Schools and clinicians buy EZvoxa Pro, its own listing, from EZ Voice direct on a purchase order, not through the stores (Frank, 8 September), at $249.99 list; the $124.99 figure at 20 or more seats is a stand-in for what negotiated large orders might average, Frank’s to set deal by deal. Florida Administrative Rule 6A-1.012, cited in St. Lucie’s own purchasing guidelines, exempts computer software bought directly from the copyright owner from competitive solicitation.</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The school and clinical shares are Claude's best estimate of direct sales through the website (Frank's ask, 9 Sep 2026), one seller at first, districts owning the devices and EZ Voice supplying the software: Year 1 St. Lucie district-wide (about 100 seats) plus two neighboring districts at 20 seats, 140 seats; Year 2 eight Florida districts at 40 seats, 320; Year 3 twenty-five districts across Florida and the Southeast, 1,000 seats; Year 4 sixty districts, 2,400; Year 5 one hundred twenty districts, 4,800, which is 0.9% of the 13,349 districts and 3.7% of the counted seats. Clinics: 3, 10, 30, 60 and 100 facilities at 5 seats. Base is that estimate; Low is half; High is double. Consumer buyer shares are unchanged placeholders.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0.12%, 0.38%, 0.92%, 1.84%</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0.4%, 1.2%, 2.5%, 4.1%</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0.11%, 0.24%, 0.77%, 1.84%, 3.67%</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 0.8%, 2.5%, 4.9%, 8.2%</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0.21%, 0.49%, 1.53%, 3.67%, 7.34%</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1.6%, 4.9%, 9.8%, 16.4%</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the cost of selling Pro direct,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$11,974,209</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155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$482,133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($198,539)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$336,091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$283,594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$283,594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370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$1,323,754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($476,836)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$928,671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$846,918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$1,130,512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1,150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$2,879,713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($953,554)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$2,039,112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$1,926,159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$3,056,671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2,701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$5,064,867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($1,582,539)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$3,621,581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$3,482,328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$6,538,999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5,300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$7,742,868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($2,307,658)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$5,593,192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$5,435,210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$11,974,209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$17,493,335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($5,519,126)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$12,518,647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$11,974,209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$11,974,209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$10,919,149,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($194,492)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$268,267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$268,267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($469,355)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$808,153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$1,076,420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($933,542)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$1,802,433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$2,878,853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($1,539,496)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$3,187,772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$6,066,625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($2,227,897)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$4,852,524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$10,919,149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($5,364,782)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$10,919,149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$10,919,149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(EZvoxa Pro seats): five-year net $944,514</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seats (0.11% of market), 4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$13,843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$13,843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seats (0.24% of market), 8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$39,997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($6,470)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$33,527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$47,370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 seats (0.77% of market), 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($17,402)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$112,491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$107,588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$154,958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2,401 seats (1.84% of market), 60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$300,101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($38,261)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$270,091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$261,840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$416,798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4,800 seats (3.67% of market), 120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$599,952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($72,236)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$539,957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$527,716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$944,514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$1,082,539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($138,024)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$974,285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$944,514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$944,514</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(EZvoxa Pro seats): five-year net $110,546</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 seats, 3 facilities (0.3%)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 seats, 10 facilities (0.8%)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$6,722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150 seats, 30 facilities (2.5%)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$16,138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$22,860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300 seats, 60 facilities (4.9%)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($4,781)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$32,716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$55,576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 seats, 100 facilities (8.2%)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$56,246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$54,970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$110,546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$114,179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$110,546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$110,546</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4,327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510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$7,703,116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$4,932,619</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8,661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1,015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$17,493,335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$11,974,209</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17,323</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2,030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$39,160,576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$27,621,655</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2026-09-09T01:29:04.500Z</dcterms:created>
  <dcterms:modified xsi:type="dcterms:W3CDTF">2026-09-09T01:29:04.500Z</dcterms:modified>
</cp:coreProperties>
</file>

<file path=docProps/custom.xml><?xml version="1.0" encoding="utf-8"?>
<Properties xmlns="http://schemas.openxmlformats.org/officeDocument/2006/custom-properties" xmlns:vt="http://schemas.openxmlformats.org/officeDocument/2006/docPropsVTypes"/>
</file>