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0"/>
          <w:szCs w:val="40"/>
        </w:rPr>
        <w:t xml:space="preserve">EZvoxa Business Plan and Projections</w:t>
      </w:r>
    </w:p>
    <w:p>
      <w:pPr>
        <w:spacing w:after="120"/>
      </w:pPr>
      <w:r>
        <w:rPr>
          <w:rFonts w:ascii="Calibri" w:cs="Calibri" w:eastAsia="Calibri" w:hAnsi="Calibri"/>
          <w:color w:val="6B6459"/>
          <w:sz w:val="22"/>
          <w:szCs w:val="22"/>
        </w:rPr>
        <w:t xml:space="preserve">Everything on record as of 7 September 2026, in one place. Revised the same day with RevenueCat’s cost.</w:t>
      </w:r>
    </w:p>
    <w:p>
      <w:pPr>
        <w:spacing w:after="120"/>
      </w:pPr>
      <w:r>
        <w:rPr>
          <w:rFonts w:ascii="Calibri" w:cs="Calibri" w:eastAsia="Calibri" w:hAnsi="Calibri"/>
          <w:color w:val="6B6459"/>
          <w:sz w:val="20"/>
          <w:szCs w:val="20"/>
        </w:rPr>
        <w:t xml:space="preserve">Prepared for Frank Schaeffer, EZ Voice LLC. Rules that apply to every line: no guessing, no assuming; every figure traces to a cited source or is labeled an assumption; nothing here is a confirmed price.</w:t>
      </w:r>
    </w:p>
    <w:p>
      <w:pPr>
        <w:pStyle w:val="Heading1"/>
        <w:spacing w:after="120" w:before="320"/>
      </w:pPr>
      <w:r>
        <w:rPr>
          <w:rFonts w:ascii="Calibri" w:cs="Calibri" w:eastAsia="Calibri" w:hAnsi="Calibri"/>
        </w:rPr>
        <w:t xml:space="preserve">1. What exists, and what does not</w:t>
      </w:r>
    </w:p>
    <w:p>
      <w:pPr>
        <w:pStyle w:val="ListParagraph"/>
        <w:numPr>
          <w:ilvl w:val="0"/>
          <w:numId w:val="2"/>
        </w:numPr>
        <w:spacing w:after="80"/>
      </w:pPr>
      <w:r>
        <w:rPr>
          <w:rFonts w:ascii="Calibri" w:cs="Calibri" w:eastAsia="Calibri" w:hAnsi="Calibri"/>
          <w:sz w:val="22"/>
          <w:szCs w:val="22"/>
        </w:rPr>
        <w:t xml:space="preserve">There is no business plan document in the project and there never has been. This is the first. It is assembled from the interactive revenue model, the decision record, and the ledger.</w:t>
      </w:r>
    </w:p>
    <w:p>
      <w:pPr>
        <w:pStyle w:val="ListParagraph"/>
        <w:numPr>
          <w:ilvl w:val="0"/>
          <w:numId w:val="2"/>
        </w:numPr>
        <w:spacing w:after="80"/>
      </w:pPr>
      <w:r>
        <w:rPr>
          <w:rFonts w:ascii="Calibri" w:cs="Calibri" w:eastAsia="Calibri" w:hAnsi="Calibri"/>
          <w:sz w:val="22"/>
          <w:szCs w:val="22"/>
        </w:rPr>
        <w:t xml:space="preserve">The projections come from the interactive model at ez-comm-tether.vercel.app/model-ezvoxa.html, last changed 15 August 2026. The numbers below were read from it on 7 September 2026 by running it and copying its tables.</w:t>
      </w:r>
    </w:p>
    <w:p>
      <w:pPr>
        <w:pStyle w:val="ListParagraph"/>
        <w:numPr>
          <w:ilvl w:val="0"/>
          <w:numId w:val="2"/>
        </w:numPr>
        <w:spacing w:after="80"/>
      </w:pPr>
      <w:r>
        <w:rPr>
          <w:rFonts w:ascii="Calibri" w:cs="Calibri" w:eastAsia="Calibri" w:hAnsi="Calibri"/>
          <w:sz w:val="22"/>
          <w:szCs w:val="22"/>
        </w:rPr>
        <w:t xml:space="preserve">Pricing is not confirmed. On 1 September you said: "remove the pricing. I have not confirmed that yet." The model still runs on $79.99 one-time and $12.99 a month as internal working numbers. They appear here because the model uses them, not because they are decided. Nothing publishes until you confirm a price.</w:t>
      </w:r>
    </w:p>
    <w:p>
      <w:pPr>
        <w:pStyle w:val="ListParagraph"/>
        <w:numPr>
          <w:ilvl w:val="0"/>
          <w:numId w:val="2"/>
        </w:numPr>
        <w:spacing w:after="80"/>
      </w:pPr>
      <w:r>
        <w:rPr>
          <w:rFonts w:ascii="Calibri" w:cs="Calibri" w:eastAsia="Calibri" w:hAnsi="Calibri"/>
          <w:sz w:val="22"/>
          <w:szCs w:val="22"/>
        </w:rPr>
        <w:t xml:space="preserve">The model predates every decision made 1 to 7 September. Section 6 lists what changed and what it does to the model.</w:t>
      </w:r>
    </w:p>
    <w:p>
      <w:pPr>
        <w:pStyle w:val="Heading1"/>
        <w:spacing w:after="120" w:before="320"/>
      </w:pPr>
      <w:r>
        <w:rPr>
          <w:rFonts w:ascii="Calibri" w:cs="Calibri" w:eastAsia="Calibri" w:hAnsi="Calibri"/>
        </w:rPr>
        <w:t xml:space="preserve">2. The business in one page</w:t>
      </w:r>
    </w:p>
    <w:p>
      <w:pPr>
        <w:pStyle w:val="ListParagraph"/>
        <w:numPr>
          <w:ilvl w:val="0"/>
          <w:numId w:val="2"/>
        </w:numPr>
        <w:spacing w:after="80"/>
      </w:pPr>
      <w:r>
        <w:rPr>
          <w:rFonts w:ascii="Calibri" w:cs="Calibri" w:eastAsia="Calibri" w:hAnsi="Calibri"/>
          <w:sz w:val="22"/>
          <w:szCs w:val="22"/>
        </w:rPr>
        <w:t xml:space="preserve">The product: EZvoxa, an AAC app for nonverbal teenagers and adults, built from the app Evan uses every day. The picture is the button; tapping it speaks. It runs on a phone the family already owns.</w:t>
      </w:r>
    </w:p>
    <w:p>
      <w:pPr>
        <w:pStyle w:val="ListParagraph"/>
        <w:numPr>
          <w:ilvl w:val="0"/>
          <w:numId w:val="2"/>
        </w:numPr>
        <w:spacing w:after="80"/>
      </w:pPr>
      <w:r>
        <w:rPr>
          <w:rFonts w:ascii="Calibri" w:cs="Calibri" w:eastAsia="Calibri" w:hAnsi="Calibri"/>
          <w:sz w:val="22"/>
          <w:szCs w:val="22"/>
        </w:rPr>
        <w:t xml:space="preserve">Free forever: the talker, the boards, the device voice, and the SOS Family Alert. That is settled and final.</w:t>
      </w:r>
    </w:p>
    <w:p>
      <w:pPr>
        <w:pStyle w:val="ListParagraph"/>
        <w:numPr>
          <w:ilvl w:val="0"/>
          <w:numId w:val="2"/>
        </w:numPr>
        <w:spacing w:after="80"/>
      </w:pPr>
      <w:r>
        <w:rPr>
          <w:rFonts w:ascii="Calibri" w:cs="Calibri" w:eastAsia="Calibri" w:hAnsi="Calibri"/>
          <w:sz w:val="22"/>
          <w:szCs w:val="22"/>
        </w:rPr>
        <w:t xml:space="preserve">The subscription: the natural voice, everyday texting, voice messages from a parent, and Family Sync across the family’s phones. Sold per family, never per phone. One subscription covers every phone in the family through the Family Code.</w:t>
      </w:r>
    </w:p>
    <w:p>
      <w:pPr>
        <w:pStyle w:val="ListParagraph"/>
        <w:numPr>
          <w:ilvl w:val="0"/>
          <w:numId w:val="2"/>
        </w:numPr>
        <w:spacing w:after="80"/>
      </w:pPr>
      <w:r>
        <w:rPr>
          <w:rFonts w:ascii="Calibri" w:cs="Calibri" w:eastAsia="Calibri" w:hAnsi="Calibri"/>
          <w:sz w:val="22"/>
          <w:szCs w:val="22"/>
        </w:rPr>
        <w:t xml:space="preserve">Schools: a per-student, per-year license. Under IDEA a district must provide AAC written into a student’s IEP at no cost to the family, so district purchasing is an existing obligation. Year 1 is a free pilot at Evan’s school, requested by the ESE director.</w:t>
      </w:r>
    </w:p>
    <w:p>
      <w:pPr>
        <w:pStyle w:val="ListParagraph"/>
        <w:numPr>
          <w:ilvl w:val="0"/>
          <w:numId w:val="2"/>
        </w:numPr>
        <w:spacing w:after="80"/>
      </w:pPr>
      <w:r>
        <w:rPr>
          <w:rFonts w:ascii="Calibri" w:cs="Calibri" w:eastAsia="Calibri" w:hAnsi="Calibri"/>
          <w:sz w:val="22"/>
          <w:szCs w:val="22"/>
        </w:rPr>
        <w:t xml:space="preserve">A hardship program: a family that cannot pay is marked paid on our server by us. Built. No store, no coupon.</w:t>
      </w:r>
    </w:p>
    <w:p>
      <w:pPr>
        <w:pStyle w:val="ListParagraph"/>
        <w:numPr>
          <w:ilvl w:val="0"/>
          <w:numId w:val="2"/>
        </w:numPr>
        <w:spacing w:after="80"/>
      </w:pPr>
      <w:r>
        <w:rPr>
          <w:rFonts w:ascii="Calibri" w:cs="Calibri" w:eastAsia="Calibri" w:hAnsi="Calibri"/>
          <w:sz w:val="22"/>
          <w:szCs w:val="22"/>
        </w:rPr>
        <w:t xml:space="preserve">Channels: the App Store first, Google Play second, the website for the story and the waitlist. No middleman for billing; the app talks to Apple and Google directly.</w:t>
      </w:r>
    </w:p>
    <w:p>
      <w:pPr>
        <w:pStyle w:val="ListParagraph"/>
        <w:numPr>
          <w:ilvl w:val="0"/>
          <w:numId w:val="2"/>
        </w:numPr>
        <w:spacing w:after="80"/>
      </w:pPr>
      <w:r>
        <w:rPr>
          <w:rFonts w:ascii="Calibri" w:cs="Calibri" w:eastAsia="Calibri" w:hAnsi="Calibri"/>
          <w:sz w:val="22"/>
          <w:szCs w:val="22"/>
        </w:rPr>
        <w:t xml:space="preserve">Who pays whom: Apple keeps its commission and pays the rest to the business bank account. Under Apple’s Small Business Program the commission is 15% below 1 million dollars a year, and Apple pays within 45 days of the end of its fiscal month once proceeds pass its minimum. Google Play charges 15% on the first 1 million dollars a year and pays monthly. These were verified from Apple’s and Google’s help pages on 4 September.</w:t>
      </w:r>
    </w:p>
    <w:p>
      <w:pPr>
        <w:pStyle w:val="Heading1"/>
        <w:spacing w:after="120" w:before="320"/>
      </w:pPr>
      <w:r>
        <w:rPr>
          <w:rFonts w:ascii="Calibri" w:cs="Calibri" w:eastAsia="Calibri" w:hAnsi="Calibri"/>
        </w:rPr>
        <w:t xml:space="preserve">3. How the model builds the market</w:t>
      </w:r>
    </w:p>
    <w:p>
      <w:pPr>
        <w:spacing w:after="120"/>
      </w:pPr>
      <w:r>
        <w:rPr>
          <w:rFonts w:ascii="Calibri" w:cs="Calibri" w:eastAsia="Calibri" w:hAnsi="Calibri"/>
          <w:sz w:val="22"/>
          <w:szCs w:val="22"/>
        </w:rPr>
        <w:t xml:space="preserve">Each region starts from its population aged 12 and up. The model takes 0.5% of that as people who require AAC, then 65% of those as reachable by a touch app, then applies a penetration percentage that differs by case. The penetration is anchored so that five-year totals stay a fraction of the category leader’s install base. The table is the Mid case.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300"/>
        <w:gridCol w:w="1400"/>
        <w:gridCol w:w="1000"/>
        <w:gridCol w:w="1000"/>
        <w:gridCol w:w="1000"/>
        <w:gridCol w:w="1100"/>
      </w:tblGrid>
      <w:tr>
        <w:tc>
          <w:tcPr>
            <w:tcW w:type="dxa" w:w="1500"/>
            <w:shd w:fill="E8E3DA" w:color="auto" w:val="clear"/>
            <w:tcMar>
              <w:top w:type="dxa" w:w="60"/>
              <w:left w:type="dxa" w:w="80"/>
              <w:bottom w:type="dxa" w:w="60"/>
              <w:right w:type="dxa" w:w="80"/>
            </w:tcMar>
          </w:tcPr>
          <w:p>
            <w:pPr>
              <w:jc w:val="left"/>
            </w:pPr>
            <w:r>
              <w:rPr>
                <w:rFonts w:ascii="Calibri" w:cs="Calibri" w:eastAsia="Calibri" w:hAnsi="Calibri"/>
                <w:b/>
                <w:bCs/>
                <w:sz w:val="17"/>
                <w:szCs w:val="17"/>
              </w:rPr>
              <w:t xml:space="preserve">Region</w:t>
            </w:r>
          </w:p>
        </w:tc>
        <w:tc>
          <w:tcPr>
            <w:tcW w:type="dxa" w:w="1300"/>
            <w:shd w:fill="E8E3DA" w:color="auto" w:val="clear"/>
            <w:tcMar>
              <w:top w:type="dxa" w:w="60"/>
              <w:left w:type="dxa" w:w="80"/>
              <w:bottom w:type="dxa" w:w="60"/>
              <w:right w:type="dxa" w:w="80"/>
            </w:tcMar>
          </w:tcPr>
          <w:p>
            <w:pPr>
              <w:jc w:val="left"/>
            </w:pPr>
            <w:r>
              <w:rPr>
                <w:rFonts w:ascii="Calibri" w:cs="Calibri" w:eastAsia="Calibri" w:hAnsi="Calibri"/>
                <w:b/>
                <w:bCs/>
                <w:sz w:val="17"/>
                <w:szCs w:val="17"/>
              </w:rPr>
              <w:t xml:space="preserve">Population 12+</w:t>
            </w:r>
          </w:p>
        </w:tc>
        <w:tc>
          <w:tcPr>
            <w:tcW w:type="dxa" w:w="1300"/>
            <w:shd w:fill="E8E3DA" w:color="auto" w:val="clear"/>
            <w:tcMar>
              <w:top w:type="dxa" w:w="60"/>
              <w:left w:type="dxa" w:w="80"/>
              <w:bottom w:type="dxa" w:w="60"/>
              <w:right w:type="dxa" w:w="80"/>
            </w:tcMar>
          </w:tcPr>
          <w:p>
            <w:pPr>
              <w:jc w:val="left"/>
            </w:pPr>
            <w:r>
              <w:rPr>
                <w:rFonts w:ascii="Calibri" w:cs="Calibri" w:eastAsia="Calibri" w:hAnsi="Calibri"/>
                <w:b/>
                <w:bCs/>
                <w:sz w:val="17"/>
                <w:szCs w:val="17"/>
              </w:rPr>
              <w:t xml:space="preserve">Requires AAC (0.5%)</w:t>
            </w:r>
          </w:p>
        </w:tc>
        <w:tc>
          <w:tcPr>
            <w:tcW w:type="dxa" w:w="1400"/>
            <w:shd w:fill="E8E3DA" w:color="auto" w:val="clear"/>
            <w:tcMar>
              <w:top w:type="dxa" w:w="60"/>
              <w:left w:type="dxa" w:w="80"/>
              <w:bottom w:type="dxa" w:w="60"/>
              <w:right w:type="dxa" w:w="80"/>
            </w:tcMar>
          </w:tcPr>
          <w:p>
            <w:pPr>
              <w:jc w:val="left"/>
            </w:pPr>
            <w:r>
              <w:rPr>
                <w:rFonts w:ascii="Calibri" w:cs="Calibri" w:eastAsia="Calibri" w:hAnsi="Calibri"/>
                <w:b/>
                <w:bCs/>
                <w:sz w:val="17"/>
                <w:szCs w:val="17"/>
              </w:rPr>
              <w:t xml:space="preserve">Touch-app reachable (65%)</w:t>
            </w:r>
          </w:p>
        </w:tc>
        <w:tc>
          <w:tcPr>
            <w:tcW w:type="dxa" w:w="1000"/>
            <w:shd w:fill="E8E3DA" w:color="auto" w:val="clear"/>
            <w:tcMar>
              <w:top w:type="dxa" w:w="60"/>
              <w:left w:type="dxa" w:w="80"/>
              <w:bottom w:type="dxa" w:w="60"/>
              <w:right w:type="dxa" w:w="80"/>
            </w:tcMar>
          </w:tcPr>
          <w:p>
            <w:pPr>
              <w:jc w:val="left"/>
            </w:pPr>
            <w:r>
              <w:rPr>
                <w:rFonts w:ascii="Calibri" w:cs="Calibri" w:eastAsia="Calibri" w:hAnsi="Calibri"/>
                <w:b/>
                <w:bCs/>
                <w:sz w:val="17"/>
                <w:szCs w:val="17"/>
              </w:rPr>
              <w:t xml:space="preserve">Penetration</w:t>
            </w:r>
          </w:p>
        </w:tc>
        <w:tc>
          <w:tcPr>
            <w:tcW w:type="dxa" w:w="1000"/>
            <w:shd w:fill="E8E3DA" w:color="auto" w:val="clear"/>
            <w:tcMar>
              <w:top w:type="dxa" w:w="60"/>
              <w:left w:type="dxa" w:w="80"/>
              <w:bottom w:type="dxa" w:w="60"/>
              <w:right w:type="dxa" w:w="80"/>
            </w:tcMar>
          </w:tcPr>
          <w:p>
            <w:pPr>
              <w:jc w:val="left"/>
            </w:pPr>
            <w:r>
              <w:rPr>
                <w:rFonts w:ascii="Calibri" w:cs="Calibri" w:eastAsia="Calibri" w:hAnsi="Calibri"/>
                <w:b/>
                <w:bCs/>
                <w:sz w:val="17"/>
                <w:szCs w:val="17"/>
              </w:rPr>
              <w:t xml:space="preserve">App buyers</w:t>
            </w:r>
          </w:p>
        </w:tc>
        <w:tc>
          <w:tcPr>
            <w:tcW w:type="dxa" w:w="1000"/>
            <w:shd w:fill="E8E3DA" w:color="auto" w:val="clear"/>
            <w:tcMar>
              <w:top w:type="dxa" w:w="60"/>
              <w:left w:type="dxa" w:w="80"/>
              <w:bottom w:type="dxa" w:w="60"/>
              <w:right w:type="dxa" w:w="80"/>
            </w:tcMar>
          </w:tcPr>
          <w:p>
            <w:pPr>
              <w:jc w:val="left"/>
            </w:pPr>
            <w:r>
              <w:rPr>
                <w:rFonts w:ascii="Calibri" w:cs="Calibri" w:eastAsia="Calibri" w:hAnsi="Calibri"/>
                <w:b/>
                <w:bCs/>
                <w:sz w:val="17"/>
                <w:szCs w:val="17"/>
              </w:rPr>
              <w:t xml:space="preserve">Subscribers</w:t>
            </w:r>
          </w:p>
        </w:tc>
        <w:tc>
          <w:tcPr>
            <w:tcW w:type="dxa" w:w="1100"/>
            <w:shd w:fill="E8E3DA" w:color="auto" w:val="clear"/>
            <w:tcMar>
              <w:top w:type="dxa" w:w="60"/>
              <w:left w:type="dxa" w:w="80"/>
              <w:bottom w:type="dxa" w:w="60"/>
              <w:right w:type="dxa" w:w="80"/>
            </w:tcMar>
          </w:tcPr>
          <w:p>
            <w:pPr>
              <w:jc w:val="left"/>
            </w:pPr>
            <w:r>
              <w:rPr>
                <w:rFonts w:ascii="Calibri" w:cs="Calibri" w:eastAsia="Calibri" w:hAnsi="Calibri"/>
                <w:b/>
                <w:bCs/>
                <w:sz w:val="17"/>
                <w:szCs w:val="17"/>
              </w:rPr>
              <w:t xml:space="preserve">5-year value</w:t>
            </w:r>
          </w:p>
        </w:tc>
      </w:tr>
      <w:tr>
        <w:tc>
          <w:tcPr>
            <w:tcW w:type="dxa" w:w="1500"/>
            <w:tcMar>
              <w:top w:type="dxa" w:w="60"/>
              <w:left w:type="dxa" w:w="80"/>
              <w:bottom w:type="dxa" w:w="60"/>
              <w:right w:type="dxa" w:w="80"/>
            </w:tcMar>
          </w:tcPr>
          <w:p>
            <w:pPr>
              <w:jc w:val="left"/>
            </w:pPr>
            <w:r>
              <w:rPr>
                <w:rFonts w:ascii="Calibri" w:cs="Calibri" w:eastAsia="Calibri" w:hAnsi="Calibri"/>
                <w:b w:val="false"/>
                <w:bCs w:val="false"/>
                <w:sz w:val="17"/>
                <w:szCs w:val="17"/>
              </w:rPr>
              <w:t xml:space="preserve">United States</w:t>
            </w:r>
          </w:p>
        </w:tc>
        <w:tc>
          <w:tcPr>
            <w:tcW w:type="dxa" w:w="13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285,000,000</w:t>
            </w:r>
          </w:p>
        </w:tc>
        <w:tc>
          <w:tcPr>
            <w:tcW w:type="dxa" w:w="13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1,425,000</w:t>
            </w:r>
          </w:p>
        </w:tc>
        <w:tc>
          <w:tcPr>
            <w:tcW w:type="dxa" w:w="14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926,250</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0.90%</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8,336</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1,250</w:t>
            </w:r>
          </w:p>
        </w:tc>
        <w:tc>
          <w:tcPr>
            <w:tcW w:type="dxa" w:w="11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$873k</w:t>
            </w:r>
          </w:p>
        </w:tc>
      </w:tr>
      <w:tr>
        <w:tc>
          <w:tcPr>
            <w:tcW w:type="dxa" w:w="1500"/>
            <w:tcMar>
              <w:top w:type="dxa" w:w="60"/>
              <w:left w:type="dxa" w:w="80"/>
              <w:bottom w:type="dxa" w:w="60"/>
              <w:right w:type="dxa" w:w="80"/>
            </w:tcMar>
          </w:tcPr>
          <w:p>
            <w:pPr>
              <w:jc w:val="left"/>
            </w:pPr>
            <w:r>
              <w:rPr>
                <w:rFonts w:ascii="Calibri" w:cs="Calibri" w:eastAsia="Calibri" w:hAnsi="Calibri"/>
                <w:b w:val="false"/>
                <w:bCs w:val="false"/>
                <w:sz w:val="17"/>
                <w:szCs w:val="17"/>
              </w:rPr>
              <w:t xml:space="preserve">United Kingdom</w:t>
            </w:r>
          </w:p>
        </w:tc>
        <w:tc>
          <w:tcPr>
            <w:tcW w:type="dxa" w:w="13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57,600,000</w:t>
            </w:r>
          </w:p>
        </w:tc>
        <w:tc>
          <w:tcPr>
            <w:tcW w:type="dxa" w:w="13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288,000</w:t>
            </w:r>
          </w:p>
        </w:tc>
        <w:tc>
          <w:tcPr>
            <w:tcW w:type="dxa" w:w="14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187,200</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0.70%</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1,310</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197</w:t>
            </w:r>
          </w:p>
        </w:tc>
        <w:tc>
          <w:tcPr>
            <w:tcW w:type="dxa" w:w="11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$137k</w:t>
            </w:r>
          </w:p>
        </w:tc>
      </w:tr>
      <w:tr>
        <w:tc>
          <w:tcPr>
            <w:tcW w:type="dxa" w:w="1500"/>
            <w:tcMar>
              <w:top w:type="dxa" w:w="60"/>
              <w:left w:type="dxa" w:w="80"/>
              <w:bottom w:type="dxa" w:w="60"/>
              <w:right w:type="dxa" w:w="80"/>
            </w:tcMar>
          </w:tcPr>
          <w:p>
            <w:pPr>
              <w:jc w:val="left"/>
            </w:pPr>
            <w:r>
              <w:rPr>
                <w:rFonts w:ascii="Calibri" w:cs="Calibri" w:eastAsia="Calibri" w:hAnsi="Calibri"/>
                <w:b w:val="false"/>
                <w:bCs w:val="false"/>
                <w:sz w:val="17"/>
                <w:szCs w:val="17"/>
              </w:rPr>
              <w:t xml:space="preserve">Canada</w:t>
            </w:r>
          </w:p>
        </w:tc>
        <w:tc>
          <w:tcPr>
            <w:tcW w:type="dxa" w:w="13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34,500,000</w:t>
            </w:r>
          </w:p>
        </w:tc>
        <w:tc>
          <w:tcPr>
            <w:tcW w:type="dxa" w:w="13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172,500</w:t>
            </w:r>
          </w:p>
        </w:tc>
        <w:tc>
          <w:tcPr>
            <w:tcW w:type="dxa" w:w="14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112,125</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0.70%</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785</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118</w:t>
            </w:r>
          </w:p>
        </w:tc>
        <w:tc>
          <w:tcPr>
            <w:tcW w:type="dxa" w:w="11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$82k</w:t>
            </w:r>
          </w:p>
        </w:tc>
      </w:tr>
      <w:tr>
        <w:tc>
          <w:tcPr>
            <w:tcW w:type="dxa" w:w="1500"/>
            <w:tcMar>
              <w:top w:type="dxa" w:w="60"/>
              <w:left w:type="dxa" w:w="80"/>
              <w:bottom w:type="dxa" w:w="60"/>
              <w:right w:type="dxa" w:w="80"/>
            </w:tcMar>
          </w:tcPr>
          <w:p>
            <w:pPr>
              <w:jc w:val="left"/>
            </w:pPr>
            <w:r>
              <w:rPr>
                <w:rFonts w:ascii="Calibri" w:cs="Calibri" w:eastAsia="Calibri" w:hAnsi="Calibri"/>
                <w:b w:val="false"/>
                <w:bCs w:val="false"/>
                <w:sz w:val="17"/>
                <w:szCs w:val="17"/>
              </w:rPr>
              <w:t xml:space="preserve">Australia</w:t>
            </w:r>
          </w:p>
        </w:tc>
        <w:tc>
          <w:tcPr>
            <w:tcW w:type="dxa" w:w="13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22,200,000</w:t>
            </w:r>
          </w:p>
        </w:tc>
        <w:tc>
          <w:tcPr>
            <w:tcW w:type="dxa" w:w="13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111,000</w:t>
            </w:r>
          </w:p>
        </w:tc>
        <w:tc>
          <w:tcPr>
            <w:tcW w:type="dxa" w:w="14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72,150</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0.70%</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505</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76</w:t>
            </w:r>
          </w:p>
        </w:tc>
        <w:tc>
          <w:tcPr>
            <w:tcW w:type="dxa" w:w="11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$53k</w:t>
            </w:r>
          </w:p>
        </w:tc>
      </w:tr>
      <w:tr>
        <w:tc>
          <w:tcPr>
            <w:tcW w:type="dxa" w:w="1500"/>
            <w:tcMar>
              <w:top w:type="dxa" w:w="60"/>
              <w:left w:type="dxa" w:w="80"/>
              <w:bottom w:type="dxa" w:w="60"/>
              <w:right w:type="dxa" w:w="80"/>
            </w:tcMar>
          </w:tcPr>
          <w:p>
            <w:pPr>
              <w:jc w:val="left"/>
            </w:pPr>
            <w:r>
              <w:rPr>
                <w:rFonts w:ascii="Calibri" w:cs="Calibri" w:eastAsia="Calibri" w:hAnsi="Calibri"/>
                <w:b w:val="false"/>
                <w:bCs w:val="false"/>
                <w:sz w:val="17"/>
                <w:szCs w:val="17"/>
              </w:rPr>
              <w:t xml:space="preserve">Ireland</w:t>
            </w:r>
          </w:p>
        </w:tc>
        <w:tc>
          <w:tcPr>
            <w:tcW w:type="dxa" w:w="13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4,300,000</w:t>
            </w:r>
          </w:p>
        </w:tc>
        <w:tc>
          <w:tcPr>
            <w:tcW w:type="dxa" w:w="13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21,500</w:t>
            </w:r>
          </w:p>
        </w:tc>
        <w:tc>
          <w:tcPr>
            <w:tcW w:type="dxa" w:w="14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13,975</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0.70%</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98</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15</w:t>
            </w:r>
          </w:p>
        </w:tc>
        <w:tc>
          <w:tcPr>
            <w:tcW w:type="dxa" w:w="11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$10k</w:t>
            </w:r>
          </w:p>
        </w:tc>
      </w:tr>
      <w:tr>
        <w:tc>
          <w:tcPr>
            <w:tcW w:type="dxa" w:w="1500"/>
            <w:tcMar>
              <w:top w:type="dxa" w:w="60"/>
              <w:left w:type="dxa" w:w="80"/>
              <w:bottom w:type="dxa" w:w="60"/>
              <w:right w:type="dxa" w:w="80"/>
            </w:tcMar>
          </w:tcPr>
          <w:p>
            <w:pPr>
              <w:jc w:val="left"/>
            </w:pPr>
            <w:r>
              <w:rPr>
                <w:rFonts w:ascii="Calibri" w:cs="Calibri" w:eastAsia="Calibri" w:hAnsi="Calibri"/>
                <w:b w:val="false"/>
                <w:bCs w:val="false"/>
                <w:sz w:val="17"/>
                <w:szCs w:val="17"/>
              </w:rPr>
              <w:t xml:space="preserve">Japan</w:t>
            </w:r>
          </w:p>
        </w:tc>
        <w:tc>
          <w:tcPr>
            <w:tcW w:type="dxa" w:w="13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112,000,000</w:t>
            </w:r>
          </w:p>
        </w:tc>
        <w:tc>
          <w:tcPr>
            <w:tcW w:type="dxa" w:w="13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560,000</w:t>
            </w:r>
          </w:p>
        </w:tc>
        <w:tc>
          <w:tcPr>
            <w:tcW w:type="dxa" w:w="14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364,000</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0.40%</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1,456</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218</w:t>
            </w:r>
          </w:p>
        </w:tc>
        <w:tc>
          <w:tcPr>
            <w:tcW w:type="dxa" w:w="11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$152k</w:t>
            </w:r>
          </w:p>
        </w:tc>
      </w:tr>
      <w:tr>
        <w:tc>
          <w:tcPr>
            <w:tcW w:type="dxa" w:w="1500"/>
            <w:tcMar>
              <w:top w:type="dxa" w:w="60"/>
              <w:left w:type="dxa" w:w="80"/>
              <w:bottom w:type="dxa" w:w="60"/>
              <w:right w:type="dxa" w:w="80"/>
            </w:tcMar>
          </w:tcPr>
          <w:p>
            <w:pPr>
              <w:jc w:val="left"/>
            </w:pPr>
            <w:r>
              <w:rPr>
                <w:rFonts w:ascii="Calibri" w:cs="Calibri" w:eastAsia="Calibri" w:hAnsi="Calibri"/>
                <w:b w:val="false"/>
                <w:bCs w:val="false"/>
                <w:sz w:val="17"/>
                <w:szCs w:val="17"/>
              </w:rPr>
              <w:t xml:space="preserve">Spain</w:t>
            </w:r>
          </w:p>
        </w:tc>
        <w:tc>
          <w:tcPr>
            <w:tcW w:type="dxa" w:w="13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41,000,000</w:t>
            </w:r>
          </w:p>
        </w:tc>
        <w:tc>
          <w:tcPr>
            <w:tcW w:type="dxa" w:w="13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205,000</w:t>
            </w:r>
          </w:p>
        </w:tc>
        <w:tc>
          <w:tcPr>
            <w:tcW w:type="dxa" w:w="14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133,250</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0.40%</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533</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80</w:t>
            </w:r>
          </w:p>
        </w:tc>
        <w:tc>
          <w:tcPr>
            <w:tcW w:type="dxa" w:w="11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$56k</w:t>
            </w:r>
          </w:p>
        </w:tc>
      </w:tr>
      <w:tr>
        <w:tc>
          <w:tcPr>
            <w:tcW w:type="dxa" w:w="1500"/>
            <w:tcMar>
              <w:top w:type="dxa" w:w="60"/>
              <w:left w:type="dxa" w:w="80"/>
              <w:bottom w:type="dxa" w:w="60"/>
              <w:right w:type="dxa" w:w="80"/>
            </w:tcMar>
          </w:tcPr>
          <w:p>
            <w:pPr>
              <w:jc w:val="left"/>
            </w:pPr>
            <w:r>
              <w:rPr>
                <w:rFonts w:ascii="Calibri" w:cs="Calibri" w:eastAsia="Calibri" w:hAnsi="Calibri"/>
                <w:b w:val="false"/>
                <w:bCs w:val="false"/>
                <w:sz w:val="17"/>
                <w:szCs w:val="17"/>
              </w:rPr>
              <w:t xml:space="preserve">Latin America</w:t>
            </w:r>
          </w:p>
        </w:tc>
        <w:tc>
          <w:tcPr>
            <w:tcW w:type="dxa" w:w="13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344,000,000</w:t>
            </w:r>
          </w:p>
        </w:tc>
        <w:tc>
          <w:tcPr>
            <w:tcW w:type="dxa" w:w="13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1,720,000</w:t>
            </w:r>
          </w:p>
        </w:tc>
        <w:tc>
          <w:tcPr>
            <w:tcW w:type="dxa" w:w="14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1,118,000</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0.30%</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3,354</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503</w:t>
            </w:r>
          </w:p>
        </w:tc>
        <w:tc>
          <w:tcPr>
            <w:tcW w:type="dxa" w:w="11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$351k</w:t>
            </w:r>
          </w:p>
        </w:tc>
      </w:tr>
      <w:tr>
        <w:tc>
          <w:tcPr>
            <w:tcW w:type="dxa" w:w="1500"/>
            <w:tcMar>
              <w:top w:type="dxa" w:w="60"/>
              <w:left w:type="dxa" w:w="80"/>
              <w:bottom w:type="dxa" w:w="60"/>
              <w:right w:type="dxa" w:w="80"/>
            </w:tcMar>
          </w:tcPr>
          <w:p>
            <w:pPr>
              <w:jc w:val="left"/>
            </w:pPr>
            <w:r>
              <w:rPr>
                <w:rFonts w:ascii="Calibri" w:cs="Calibri" w:eastAsia="Calibri" w:hAnsi="Calibri"/>
                <w:b w:val="false"/>
                <w:bCs w:val="false"/>
                <w:sz w:val="17"/>
                <w:szCs w:val="17"/>
              </w:rPr>
              <w:t xml:space="preserve">Total</w:t>
            </w:r>
          </w:p>
        </w:tc>
        <w:tc>
          <w:tcPr>
            <w:tcW w:type="dxa" w:w="13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900,600,000</w:t>
            </w:r>
          </w:p>
        </w:tc>
        <w:tc>
          <w:tcPr>
            <w:tcW w:type="dxa" w:w="13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4,503,000</w:t>
            </w:r>
          </w:p>
        </w:tc>
        <w:tc>
          <w:tcPr>
            <w:tcW w:type="dxa" w:w="14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2,926,950</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16,377</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2,457</w:t>
            </w:r>
          </w:p>
        </w:tc>
        <w:tc>
          <w:tcPr>
            <w:tcW w:type="dxa" w:w="1100"/>
            <w:tcMar>
              <w:top w:type="dxa" w:w="60"/>
              <w:left w:type="dxa" w:w="80"/>
              <w:bottom w:type="dxa" w:w="60"/>
              <w:right w:type="dxa" w:w="80"/>
            </w:tcMar>
          </w:tcPr>
          <w:p>
            <w:pPr>
              <w:jc w:val="right"/>
            </w:pPr>
            <w:r>
              <w:rPr>
                <w:rFonts w:ascii="Calibri" w:cs="Calibri" w:eastAsia="Calibri" w:hAnsi="Calibri"/>
                <w:b w:val="false"/>
                <w:bCs w:val="false"/>
                <w:sz w:val="17"/>
                <w:szCs w:val="17"/>
              </w:rPr>
              <w:t xml:space="preserve">$1.71M</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Five-year totals by case, all regions: Floor 6,235 app buyers and 935 subscribers over five years; Mid 16,377 buyers and 2,457 subscribers; Ceiling 40,114 buyers and 6,017 subscribers. Active subscribers in Year 5: Floor 561, Mid 1,474, Ceiling 3,611.</w:t>
      </w:r>
    </w:p>
    <w:p>
      <w:pPr>
        <w:pStyle w:val="Heading1"/>
        <w:spacing w:after="120" w:before="320"/>
      </w:pPr>
      <w:r>
        <w:rPr>
          <w:rFonts w:ascii="Calibri" w:cs="Calibri" w:eastAsia="Calibri" w:hAnsi="Calibri"/>
        </w:rPr>
        <w:t xml:space="preserve">4. Five-year projections</w:t>
      </w:r>
    </w:p>
    <w:p>
      <w:pPr>
        <w:spacing w:after="120"/>
      </w:pPr>
      <w:r>
        <w:rPr>
          <w:rFonts w:ascii="Calibri" w:cs="Calibri" w:eastAsia="Calibri" w:hAnsi="Calibri"/>
          <w:sz w:val="22"/>
          <w:szCs w:val="22"/>
        </w:rPr>
        <w:t xml:space="preserve">Schools are included in every case; the dedicated device line (Phase 2) is switched off, as the model defaults. Dollar columns are net of store fees where the model says so. Unit counts sit beside every dollar.</w:t>
      </w:r>
    </w:p>
    <w:p>
      <w:pPr>
        <w:pStyle w:val="Heading2"/>
        <w:spacing w:after="100" w:before="240"/>
      </w:pPr>
      <w:r>
        <w:rPr>
          <w:rFonts w:ascii="Calibri" w:cs="Calibri" w:eastAsia="Calibri" w:hAnsi="Calibri"/>
        </w:rPr>
        <w:t xml:space="preserve">Floor case: five-year net profit $480,151</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
        <w:gridCol w:w="800"/>
        <w:gridCol w:w="800"/>
        <w:gridCol w:w="1500"/>
        <w:gridCol w:w="900"/>
        <w:gridCol w:w="900"/>
        <w:gridCol w:w="800"/>
        <w:gridCol w:w="900"/>
        <w:gridCol w:w="900"/>
        <w:gridCol w:w="1000"/>
      </w:tblGrid>
      <w:tr>
        <w:tc>
          <w:tcPr>
            <w:tcW w:type="dxa" w:w="7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Year</w:t>
            </w:r>
          </w:p>
        </w:tc>
        <w:tc>
          <w:tcPr>
            <w:tcW w:type="dxa" w:w="8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App buyers</w:t>
            </w:r>
          </w:p>
        </w:tc>
        <w:tc>
          <w:tcPr>
            <w:tcW w:type="dxa" w:w="8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Active subs</w:t>
            </w:r>
          </w:p>
        </w:tc>
        <w:tc>
          <w:tcPr>
            <w:tcW w:type="dxa" w:w="15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Districts and seats</w:t>
            </w:r>
          </w:p>
        </w:tc>
        <w:tc>
          <w:tcPr>
            <w:tcW w:type="dxa" w:w="9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One-time</w:t>
            </w:r>
          </w:p>
        </w:tc>
        <w:tc>
          <w:tcPr>
            <w:tcW w:type="dxa" w:w="9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Recurring</w:t>
            </w:r>
          </w:p>
        </w:tc>
        <w:tc>
          <w:tcPr>
            <w:tcW w:type="dxa" w:w="8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Schools</w:t>
            </w:r>
          </w:p>
        </w:tc>
        <w:tc>
          <w:tcPr>
            <w:tcW w:type="dxa" w:w="9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Expenses</w:t>
            </w:r>
          </w:p>
        </w:tc>
        <w:tc>
          <w:tcPr>
            <w:tcW w:type="dxa" w:w="9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Net</w:t>
            </w:r>
          </w:p>
        </w:tc>
        <w:tc>
          <w:tcPr>
            <w:tcW w:type="dxa" w:w="10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Cumulative</w:t>
            </w:r>
          </w:p>
        </w:tc>
      </w:tr>
      <w:tr>
        <w:tc>
          <w:tcPr>
            <w:tcW w:type="dxa" w:w="700"/>
            <w:tcMar>
              <w:top w:type="dxa" w:w="60"/>
              <w:left w:type="dxa" w:w="80"/>
              <w:bottom w:type="dxa" w:w="60"/>
              <w:right w:type="dxa" w:w="80"/>
            </w:tcMar>
          </w:tcPr>
          <w:p>
            <w:pPr>
              <w:jc w:val="left"/>
            </w:pPr>
            <w:r>
              <w:rPr>
                <w:rFonts w:ascii="Calibri" w:cs="Calibri" w:eastAsia="Calibri" w:hAnsi="Calibri"/>
                <w:b w:val="false"/>
                <w:bCs w:val="false"/>
                <w:sz w:val="16"/>
                <w:szCs w:val="16"/>
              </w:rPr>
              <w:t xml:space="preserve">Year 1</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499</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75</w:t>
            </w:r>
          </w:p>
        </w:tc>
        <w:tc>
          <w:tcPr>
            <w:tcW w:type="dxa" w:w="15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free pilot</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$36,910</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$6,734</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$0</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(29,985)</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$13,658</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$13,658</w:t>
            </w:r>
          </w:p>
        </w:tc>
      </w:tr>
      <w:tr>
        <w:tc>
          <w:tcPr>
            <w:tcW w:type="dxa" w:w="700"/>
            <w:tcMar>
              <w:top w:type="dxa" w:w="60"/>
              <w:left w:type="dxa" w:w="80"/>
              <w:bottom w:type="dxa" w:w="60"/>
              <w:right w:type="dxa" w:w="80"/>
            </w:tcMar>
          </w:tcPr>
          <w:p>
            <w:pPr>
              <w:jc w:val="left"/>
            </w:pPr>
            <w:r>
              <w:rPr>
                <w:rFonts w:ascii="Calibri" w:cs="Calibri" w:eastAsia="Calibri" w:hAnsi="Calibri"/>
                <w:b w:val="false"/>
                <w:bCs w:val="false"/>
                <w:sz w:val="16"/>
                <w:szCs w:val="16"/>
              </w:rPr>
              <w:t xml:space="preserve">Year 2</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998</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198</w:t>
            </w:r>
          </w:p>
        </w:tc>
        <w:tc>
          <w:tcPr>
            <w:tcW w:type="dxa" w:w="15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2 districts, 60 seats</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$73,819</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$17,844</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$3,820</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(27,971)</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$67,512</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$81,170</w:t>
            </w:r>
          </w:p>
        </w:tc>
      </w:tr>
      <w:tr>
        <w:tc>
          <w:tcPr>
            <w:tcW w:type="dxa" w:w="700"/>
            <w:tcMar>
              <w:top w:type="dxa" w:w="60"/>
              <w:left w:type="dxa" w:w="80"/>
              <w:bottom w:type="dxa" w:w="60"/>
              <w:right w:type="dxa" w:w="80"/>
            </w:tcMar>
          </w:tcPr>
          <w:p>
            <w:pPr>
              <w:jc w:val="left"/>
            </w:pPr>
            <w:r>
              <w:rPr>
                <w:rFonts w:ascii="Calibri" w:cs="Calibri" w:eastAsia="Calibri" w:hAnsi="Calibri"/>
                <w:b w:val="false"/>
                <w:bCs w:val="false"/>
                <w:sz w:val="16"/>
                <w:szCs w:val="16"/>
              </w:rPr>
              <w:t xml:space="preserve">Year 3</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1,372</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335</w:t>
            </w:r>
          </w:p>
        </w:tc>
        <w:tc>
          <w:tcPr>
            <w:tcW w:type="dxa" w:w="15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4 districts, 120 seats</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$101,501</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$30,116</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$9,640</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(36,460)</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$104,797</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$185,968</w:t>
            </w:r>
          </w:p>
        </w:tc>
      </w:tr>
      <w:tr>
        <w:tc>
          <w:tcPr>
            <w:tcW w:type="dxa" w:w="700"/>
            <w:tcMar>
              <w:top w:type="dxa" w:w="60"/>
              <w:left w:type="dxa" w:w="80"/>
              <w:bottom w:type="dxa" w:w="60"/>
              <w:right w:type="dxa" w:w="80"/>
            </w:tcMar>
          </w:tcPr>
          <w:p>
            <w:pPr>
              <w:jc w:val="left"/>
            </w:pPr>
            <w:r>
              <w:rPr>
                <w:rFonts w:ascii="Calibri" w:cs="Calibri" w:eastAsia="Calibri" w:hAnsi="Calibri"/>
                <w:b w:val="false"/>
                <w:bCs w:val="false"/>
                <w:sz w:val="16"/>
                <w:szCs w:val="16"/>
              </w:rPr>
              <w:t xml:space="preserve">Year 4</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1,621</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461</w:t>
            </w:r>
          </w:p>
        </w:tc>
        <w:tc>
          <w:tcPr>
            <w:tcW w:type="dxa" w:w="15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7 districts, 210 seats</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$119,956</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$41,459</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$18,370</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(43,452)</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$136,333</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$322,301</w:t>
            </w:r>
          </w:p>
        </w:tc>
      </w:tr>
      <w:tr>
        <w:tc>
          <w:tcPr>
            <w:tcW w:type="dxa" w:w="700"/>
            <w:tcMar>
              <w:top w:type="dxa" w:w="60"/>
              <w:left w:type="dxa" w:w="80"/>
              <w:bottom w:type="dxa" w:w="60"/>
              <w:right w:type="dxa" w:w="80"/>
            </w:tcMar>
          </w:tcPr>
          <w:p>
            <w:pPr>
              <w:jc w:val="left"/>
            </w:pPr>
            <w:r>
              <w:rPr>
                <w:rFonts w:ascii="Calibri" w:cs="Calibri" w:eastAsia="Calibri" w:hAnsi="Calibri"/>
                <w:b w:val="false"/>
                <w:bCs w:val="false"/>
                <w:sz w:val="16"/>
                <w:szCs w:val="16"/>
              </w:rPr>
              <w:t xml:space="preserve">Year 5</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1,746</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561</w:t>
            </w:r>
          </w:p>
        </w:tc>
        <w:tc>
          <w:tcPr>
            <w:tcW w:type="dxa" w:w="15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10 districts, 300 seats</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$129,184</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$50,516</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$27,100</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(48,949)</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$157,851</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$480,151</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Mid case: five-year net profit $1,526,416</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
        <w:gridCol w:w="800"/>
        <w:gridCol w:w="800"/>
        <w:gridCol w:w="1500"/>
        <w:gridCol w:w="900"/>
        <w:gridCol w:w="900"/>
        <w:gridCol w:w="800"/>
        <w:gridCol w:w="900"/>
        <w:gridCol w:w="900"/>
        <w:gridCol w:w="1000"/>
      </w:tblGrid>
      <w:tr>
        <w:tc>
          <w:tcPr>
            <w:tcW w:type="dxa" w:w="7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Year</w:t>
            </w:r>
          </w:p>
        </w:tc>
        <w:tc>
          <w:tcPr>
            <w:tcW w:type="dxa" w:w="8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App buyers</w:t>
            </w:r>
          </w:p>
        </w:tc>
        <w:tc>
          <w:tcPr>
            <w:tcW w:type="dxa" w:w="8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Active subs</w:t>
            </w:r>
          </w:p>
        </w:tc>
        <w:tc>
          <w:tcPr>
            <w:tcW w:type="dxa" w:w="15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Districts and seats</w:t>
            </w:r>
          </w:p>
        </w:tc>
        <w:tc>
          <w:tcPr>
            <w:tcW w:type="dxa" w:w="9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One-time</w:t>
            </w:r>
          </w:p>
        </w:tc>
        <w:tc>
          <w:tcPr>
            <w:tcW w:type="dxa" w:w="9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Recurring</w:t>
            </w:r>
          </w:p>
        </w:tc>
        <w:tc>
          <w:tcPr>
            <w:tcW w:type="dxa" w:w="8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Schools</w:t>
            </w:r>
          </w:p>
        </w:tc>
        <w:tc>
          <w:tcPr>
            <w:tcW w:type="dxa" w:w="9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Expenses</w:t>
            </w:r>
          </w:p>
        </w:tc>
        <w:tc>
          <w:tcPr>
            <w:tcW w:type="dxa" w:w="9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Net</w:t>
            </w:r>
          </w:p>
        </w:tc>
        <w:tc>
          <w:tcPr>
            <w:tcW w:type="dxa" w:w="10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Cumulative</w:t>
            </w:r>
          </w:p>
        </w:tc>
      </w:tr>
      <w:tr>
        <w:tc>
          <w:tcPr>
            <w:tcW w:type="dxa" w:w="700"/>
            <w:tcMar>
              <w:top w:type="dxa" w:w="60"/>
              <w:left w:type="dxa" w:w="80"/>
              <w:bottom w:type="dxa" w:w="60"/>
              <w:right w:type="dxa" w:w="80"/>
            </w:tcMar>
          </w:tcPr>
          <w:p>
            <w:pPr>
              <w:jc w:val="left"/>
            </w:pPr>
            <w:r>
              <w:rPr>
                <w:rFonts w:ascii="Calibri" w:cs="Calibri" w:eastAsia="Calibri" w:hAnsi="Calibri"/>
                <w:b w:val="false"/>
                <w:bCs w:val="false"/>
                <w:sz w:val="16"/>
                <w:szCs w:val="16"/>
              </w:rPr>
              <w:t xml:space="preserve">Year 1</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1,310</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197</w:t>
            </w:r>
          </w:p>
        </w:tc>
        <w:tc>
          <w:tcPr>
            <w:tcW w:type="dxa" w:w="15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free pilot</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$96,954</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$17,688</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$0</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(39,722)</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$74,919</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$74,919</w:t>
            </w:r>
          </w:p>
        </w:tc>
      </w:tr>
      <w:tr>
        <w:tc>
          <w:tcPr>
            <w:tcW w:type="dxa" w:w="700"/>
            <w:tcMar>
              <w:top w:type="dxa" w:w="60"/>
              <w:left w:type="dxa" w:w="80"/>
              <w:bottom w:type="dxa" w:w="60"/>
              <w:right w:type="dxa" w:w="80"/>
            </w:tcMar>
          </w:tcPr>
          <w:p>
            <w:pPr>
              <w:jc w:val="left"/>
            </w:pPr>
            <w:r>
              <w:rPr>
                <w:rFonts w:ascii="Calibri" w:cs="Calibri" w:eastAsia="Calibri" w:hAnsi="Calibri"/>
                <w:b w:val="false"/>
                <w:bCs w:val="false"/>
                <w:sz w:val="16"/>
                <w:szCs w:val="16"/>
              </w:rPr>
              <w:t xml:space="preserve">Year 2</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2,620</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521</w:t>
            </w:r>
          </w:p>
        </w:tc>
        <w:tc>
          <w:tcPr>
            <w:tcW w:type="dxa" w:w="15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3 districts, 150 seats</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$193,908</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$46,872</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$12,550</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(47,445)</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$205,886</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$280,805</w:t>
            </w:r>
          </w:p>
        </w:tc>
      </w:tr>
      <w:tr>
        <w:tc>
          <w:tcPr>
            <w:tcW w:type="dxa" w:w="700"/>
            <w:tcMar>
              <w:top w:type="dxa" w:w="60"/>
              <w:left w:type="dxa" w:w="80"/>
              <w:bottom w:type="dxa" w:w="60"/>
              <w:right w:type="dxa" w:w="80"/>
            </w:tcMar>
          </w:tcPr>
          <w:p>
            <w:pPr>
              <w:jc w:val="left"/>
            </w:pPr>
            <w:r>
              <w:rPr>
                <w:rFonts w:ascii="Calibri" w:cs="Calibri" w:eastAsia="Calibri" w:hAnsi="Calibri"/>
                <w:b w:val="false"/>
                <w:bCs w:val="false"/>
                <w:sz w:val="16"/>
                <w:szCs w:val="16"/>
              </w:rPr>
              <w:t xml:space="preserve">Year 3</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3,603</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879</w:t>
            </w:r>
          </w:p>
        </w:tc>
        <w:tc>
          <w:tcPr>
            <w:tcW w:type="dxa" w:w="15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8 districts, 400 seats</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$266,624</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$79,108</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$36,800</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(63,236)</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$319,295</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$600,101</w:t>
            </w:r>
          </w:p>
        </w:tc>
      </w:tr>
      <w:tr>
        <w:tc>
          <w:tcPr>
            <w:tcW w:type="dxa" w:w="700"/>
            <w:tcMar>
              <w:top w:type="dxa" w:w="60"/>
              <w:left w:type="dxa" w:w="80"/>
              <w:bottom w:type="dxa" w:w="60"/>
              <w:right w:type="dxa" w:w="80"/>
            </w:tcMar>
          </w:tcPr>
          <w:p>
            <w:pPr>
              <w:jc w:val="left"/>
            </w:pPr>
            <w:r>
              <w:rPr>
                <w:rFonts w:ascii="Calibri" w:cs="Calibri" w:eastAsia="Calibri" w:hAnsi="Calibri"/>
                <w:b w:val="false"/>
                <w:bCs w:val="false"/>
                <w:sz w:val="16"/>
                <w:szCs w:val="16"/>
              </w:rPr>
              <w:t xml:space="preserve">Year 4</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4,258</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1,210</w:t>
            </w:r>
          </w:p>
        </w:tc>
        <w:tc>
          <w:tcPr>
            <w:tcW w:type="dxa" w:w="15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16 districts, 800 seats</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$315,101</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$108,905</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$67,600</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(75,097)</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$416,508</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$1,016,609</w:t>
            </w:r>
          </w:p>
        </w:tc>
      </w:tr>
      <w:tr>
        <w:tc>
          <w:tcPr>
            <w:tcW w:type="dxa" w:w="700"/>
            <w:tcMar>
              <w:top w:type="dxa" w:w="60"/>
              <w:left w:type="dxa" w:w="80"/>
              <w:bottom w:type="dxa" w:w="60"/>
              <w:right w:type="dxa" w:w="80"/>
            </w:tcMar>
          </w:tcPr>
          <w:p>
            <w:pPr>
              <w:jc w:val="left"/>
            </w:pPr>
            <w:r>
              <w:rPr>
                <w:rFonts w:ascii="Calibri" w:cs="Calibri" w:eastAsia="Calibri" w:hAnsi="Calibri"/>
                <w:b w:val="false"/>
                <w:bCs w:val="false"/>
                <w:sz w:val="16"/>
                <w:szCs w:val="16"/>
              </w:rPr>
              <w:t xml:space="preserve">Year 5</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4,586</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1,474</w:t>
            </w:r>
          </w:p>
        </w:tc>
        <w:tc>
          <w:tcPr>
            <w:tcW w:type="dxa" w:w="15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28 districts, 1,400 seats</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$339,340</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$132,695</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$120,800</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(83,028)</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$509,806</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$1,526,416</w:t>
            </w:r>
          </w:p>
        </w:tc>
      </w:tr>
    </w:tbl>
    <w:p>
      <w:pPr>
        <w:spacing w:after="120"/>
      </w:pPr>
      <w:r>
        <w:rPr>
          <w:rFonts w:ascii="Calibri" w:cs="Calibri" w:eastAsia="Calibri" w:hAnsi="Calibri"/>
          <w:sz w:val="22"/>
          <w:szCs w:val="22"/>
        </w:rPr>
        <w:t xml:space="preserve"/>
      </w:r>
    </w:p>
    <w:p>
      <w:pPr>
        <w:pStyle w:val="Heading2"/>
        <w:spacing w:after="100" w:before="240"/>
      </w:pPr>
      <w:r>
        <w:rPr>
          <w:rFonts w:ascii="Calibri" w:cs="Calibri" w:eastAsia="Calibri" w:hAnsi="Calibri"/>
        </w:rPr>
        <w:t xml:space="preserve">Ceiling case: five-year net profit $4,756,230</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
        <w:gridCol w:w="800"/>
        <w:gridCol w:w="800"/>
        <w:gridCol w:w="1500"/>
        <w:gridCol w:w="900"/>
        <w:gridCol w:w="900"/>
        <w:gridCol w:w="800"/>
        <w:gridCol w:w="900"/>
        <w:gridCol w:w="900"/>
        <w:gridCol w:w="1000"/>
      </w:tblGrid>
      <w:tr>
        <w:tc>
          <w:tcPr>
            <w:tcW w:type="dxa" w:w="7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Year</w:t>
            </w:r>
          </w:p>
        </w:tc>
        <w:tc>
          <w:tcPr>
            <w:tcW w:type="dxa" w:w="8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App buyers</w:t>
            </w:r>
          </w:p>
        </w:tc>
        <w:tc>
          <w:tcPr>
            <w:tcW w:type="dxa" w:w="8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Active subs</w:t>
            </w:r>
          </w:p>
        </w:tc>
        <w:tc>
          <w:tcPr>
            <w:tcW w:type="dxa" w:w="15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Districts and seats</w:t>
            </w:r>
          </w:p>
        </w:tc>
        <w:tc>
          <w:tcPr>
            <w:tcW w:type="dxa" w:w="9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One-time</w:t>
            </w:r>
          </w:p>
        </w:tc>
        <w:tc>
          <w:tcPr>
            <w:tcW w:type="dxa" w:w="9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Recurring</w:t>
            </w:r>
          </w:p>
        </w:tc>
        <w:tc>
          <w:tcPr>
            <w:tcW w:type="dxa" w:w="8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Schools</w:t>
            </w:r>
          </w:p>
        </w:tc>
        <w:tc>
          <w:tcPr>
            <w:tcW w:type="dxa" w:w="9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Expenses</w:t>
            </w:r>
          </w:p>
        </w:tc>
        <w:tc>
          <w:tcPr>
            <w:tcW w:type="dxa" w:w="9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Net</w:t>
            </w:r>
          </w:p>
        </w:tc>
        <w:tc>
          <w:tcPr>
            <w:tcW w:type="dxa" w:w="1000"/>
            <w:shd w:fill="E8E3DA" w:color="auto" w:val="clear"/>
            <w:tcMar>
              <w:top w:type="dxa" w:w="60"/>
              <w:left w:type="dxa" w:w="80"/>
              <w:bottom w:type="dxa" w:w="60"/>
              <w:right w:type="dxa" w:w="80"/>
            </w:tcMar>
          </w:tcPr>
          <w:p>
            <w:pPr>
              <w:jc w:val="left"/>
            </w:pPr>
            <w:r>
              <w:rPr>
                <w:rFonts w:ascii="Calibri" w:cs="Calibri" w:eastAsia="Calibri" w:hAnsi="Calibri"/>
                <w:b/>
                <w:bCs/>
                <w:sz w:val="16"/>
                <w:szCs w:val="16"/>
              </w:rPr>
              <w:t xml:space="preserve">Cumulative</w:t>
            </w:r>
          </w:p>
        </w:tc>
      </w:tr>
      <w:tr>
        <w:tc>
          <w:tcPr>
            <w:tcW w:type="dxa" w:w="700"/>
            <w:tcMar>
              <w:top w:type="dxa" w:w="60"/>
              <w:left w:type="dxa" w:w="80"/>
              <w:bottom w:type="dxa" w:w="60"/>
              <w:right w:type="dxa" w:w="80"/>
            </w:tcMar>
          </w:tcPr>
          <w:p>
            <w:pPr>
              <w:jc w:val="left"/>
            </w:pPr>
            <w:r>
              <w:rPr>
                <w:rFonts w:ascii="Calibri" w:cs="Calibri" w:eastAsia="Calibri" w:hAnsi="Calibri"/>
                <w:b w:val="false"/>
                <w:bCs w:val="false"/>
                <w:sz w:val="16"/>
                <w:szCs w:val="16"/>
              </w:rPr>
              <w:t xml:space="preserve">Year 1</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3,209</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481</w:t>
            </w:r>
          </w:p>
        </w:tc>
        <w:tc>
          <w:tcPr>
            <w:tcW w:type="dxa" w:w="15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free pilot</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$237,475</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$43,323</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$0</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(62,510)</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$218,289</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$218,289</w:t>
            </w:r>
          </w:p>
        </w:tc>
      </w:tr>
      <w:tr>
        <w:tc>
          <w:tcPr>
            <w:tcW w:type="dxa" w:w="700"/>
            <w:tcMar>
              <w:top w:type="dxa" w:w="60"/>
              <w:left w:type="dxa" w:w="80"/>
              <w:bottom w:type="dxa" w:w="60"/>
              <w:right w:type="dxa" w:w="80"/>
            </w:tcMar>
          </w:tcPr>
          <w:p>
            <w:pPr>
              <w:jc w:val="left"/>
            </w:pPr>
            <w:r>
              <w:rPr>
                <w:rFonts w:ascii="Calibri" w:cs="Calibri" w:eastAsia="Calibri" w:hAnsi="Calibri"/>
                <w:b w:val="false"/>
                <w:bCs w:val="false"/>
                <w:sz w:val="16"/>
                <w:szCs w:val="16"/>
              </w:rPr>
              <w:t xml:space="preserve">Year 2</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6,418</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1,276</w:t>
            </w:r>
          </w:p>
        </w:tc>
        <w:tc>
          <w:tcPr>
            <w:tcW w:type="dxa" w:w="15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10 districts, 500 seats</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$474,951</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$114,807</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$43,500</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(93,019)</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$540,238</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$758,528</w:t>
            </w:r>
          </w:p>
        </w:tc>
      </w:tr>
      <w:tr>
        <w:tc>
          <w:tcPr>
            <w:tcW w:type="dxa" w:w="700"/>
            <w:tcMar>
              <w:top w:type="dxa" w:w="60"/>
              <w:left w:type="dxa" w:w="80"/>
              <w:bottom w:type="dxa" w:w="60"/>
              <w:right w:type="dxa" w:w="80"/>
            </w:tcMar>
          </w:tcPr>
          <w:p>
            <w:pPr>
              <w:jc w:val="left"/>
            </w:pPr>
            <w:r>
              <w:rPr>
                <w:rFonts w:ascii="Calibri" w:cs="Calibri" w:eastAsia="Calibri" w:hAnsi="Calibri"/>
                <w:b w:val="false"/>
                <w:bCs w:val="false"/>
                <w:sz w:val="16"/>
                <w:szCs w:val="16"/>
              </w:rPr>
              <w:t xml:space="preserve">Year 3</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8,825</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2,153</w:t>
            </w:r>
          </w:p>
        </w:tc>
        <w:tc>
          <w:tcPr>
            <w:tcW w:type="dxa" w:w="15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40 districts, 2,000 seats</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$653,058</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$193,763</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$119,000</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(125,901)</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$839,919</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$1,598,447</w:t>
            </w:r>
          </w:p>
        </w:tc>
      </w:tr>
      <w:tr>
        <w:tc>
          <w:tcPr>
            <w:tcW w:type="dxa" w:w="700"/>
            <w:tcMar>
              <w:top w:type="dxa" w:w="60"/>
              <w:left w:type="dxa" w:w="80"/>
              <w:bottom w:type="dxa" w:w="60"/>
              <w:right w:type="dxa" w:w="80"/>
            </w:tcMar>
          </w:tcPr>
          <w:p>
            <w:pPr>
              <w:jc w:val="left"/>
            </w:pPr>
            <w:r>
              <w:rPr>
                <w:rFonts w:ascii="Calibri" w:cs="Calibri" w:eastAsia="Calibri" w:hAnsi="Calibri"/>
                <w:b w:val="false"/>
                <w:bCs w:val="false"/>
                <w:sz w:val="16"/>
                <w:szCs w:val="16"/>
              </w:rPr>
              <w:t xml:space="preserve">Year 4</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10,430</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2,964</w:t>
            </w:r>
          </w:p>
        </w:tc>
        <w:tc>
          <w:tcPr>
            <w:tcW w:type="dxa" w:w="15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100 districts, 5,000 seats</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$771,795</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$266,747</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$400,000</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(149,156)</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$1,289,386</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$2,887,833</w:t>
            </w:r>
          </w:p>
        </w:tc>
      </w:tr>
      <w:tr>
        <w:tc>
          <w:tcPr>
            <w:tcW w:type="dxa" w:w="700"/>
            <w:tcMar>
              <w:top w:type="dxa" w:w="60"/>
              <w:left w:type="dxa" w:w="80"/>
              <w:bottom w:type="dxa" w:w="60"/>
              <w:right w:type="dxa" w:w="80"/>
            </w:tcMar>
          </w:tcPr>
          <w:p>
            <w:pPr>
              <w:jc w:val="left"/>
            </w:pPr>
            <w:r>
              <w:rPr>
                <w:rFonts w:ascii="Calibri" w:cs="Calibri" w:eastAsia="Calibri" w:hAnsi="Calibri"/>
                <w:b w:val="false"/>
                <w:bCs w:val="false"/>
                <w:sz w:val="16"/>
                <w:szCs w:val="16"/>
              </w:rPr>
              <w:t xml:space="preserve">Year 5</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11,232</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3,611</w:t>
            </w:r>
          </w:p>
        </w:tc>
        <w:tc>
          <w:tcPr>
            <w:tcW w:type="dxa" w:w="15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200 districts, 10,000 seats</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$831,164</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$325,017</w:t>
            </w:r>
          </w:p>
        </w:tc>
        <w:tc>
          <w:tcPr>
            <w:tcW w:type="dxa" w:w="8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$875,000</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(162,783)</w:t>
            </w:r>
          </w:p>
        </w:tc>
        <w:tc>
          <w:tcPr>
            <w:tcW w:type="dxa" w:w="9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$1,868,397</w:t>
            </w:r>
          </w:p>
        </w:tc>
        <w:tc>
          <w:tcPr>
            <w:tcW w:type="dxa" w:w="1000"/>
            <w:tcMar>
              <w:top w:type="dxa" w:w="60"/>
              <w:left w:type="dxa" w:w="80"/>
              <w:bottom w:type="dxa" w:w="60"/>
              <w:right w:type="dxa" w:w="80"/>
            </w:tcMar>
          </w:tcPr>
          <w:p>
            <w:pPr>
              <w:jc w:val="right"/>
            </w:pPr>
            <w:r>
              <w:rPr>
                <w:rFonts w:ascii="Calibri" w:cs="Calibri" w:eastAsia="Calibri" w:hAnsi="Calibri"/>
                <w:b w:val="false"/>
                <w:bCs w:val="false"/>
                <w:sz w:val="16"/>
                <w:szCs w:val="16"/>
              </w:rPr>
              <w:t xml:space="preserve">$4,756,230</w:t>
            </w:r>
          </w:p>
        </w:tc>
      </w:tr>
    </w:tbl>
    <w:p>
      <w:pPr>
        <w:spacing w:after="120"/>
      </w:pPr>
      <w:r>
        <w:rPr>
          <w:rFonts w:ascii="Calibri" w:cs="Calibri" w:eastAsia="Calibri" w:hAnsi="Calibri"/>
          <w:sz w:val="22"/>
          <w:szCs w:val="22"/>
        </w:rPr>
        <w:t xml:space="preserve"/>
      </w:r>
    </w:p>
    <w:p>
      <w:pPr>
        <w:spacing w:after="120"/>
      </w:pPr>
      <w:r>
        <w:rPr>
          <w:rFonts w:ascii="Calibri" w:cs="Calibri" w:eastAsia="Calibri" w:hAnsi="Calibri"/>
          <w:sz w:val="22"/>
          <w:szCs w:val="22"/>
        </w:rPr>
        <w:t xml:space="preserve">How to read a row. Mid case, Year 5: 4,586 new app buyers that year at $79.99 one-time; 1,474 families paying $12.99 a month at year end; 28 school districts with 1,400 student seats at $99 a year; expenses of $83,028; net profit for the year of $509,806.</w:t>
      </w:r>
    </w:p>
    <w:p>
      <w:pPr>
        <w:pStyle w:val="Heading1"/>
        <w:spacing w:after="120" w:before="320"/>
      </w:pPr>
      <w:r>
        <w:rPr>
          <w:rFonts w:ascii="Calibri" w:cs="Calibri" w:eastAsia="Calibri" w:hAnsi="Calibri"/>
        </w:rPr>
        <w:t xml:space="preserve">5. Assumptions and sources, as the model labels them</w:t>
      </w:r>
    </w:p>
    <w:p>
      <w:pPr>
        <w:pStyle w:val="Heading2"/>
        <w:spacing w:after="100" w:before="240"/>
      </w:pPr>
      <w:r>
        <w:rPr>
          <w:rFonts w:ascii="Calibri" w:cs="Calibri" w:eastAsia="Calibri" w:hAnsi="Calibri"/>
        </w:rPr>
        <w:t xml:space="preserve">Grounded in the model, meaning it cites a source</w:t>
      </w:r>
    </w:p>
    <w:p>
      <w:pPr>
        <w:pStyle w:val="ListParagraph"/>
        <w:numPr>
          <w:ilvl w:val="0"/>
          <w:numId w:val="2"/>
        </w:numPr>
        <w:spacing w:after="80"/>
      </w:pPr>
      <w:r>
        <w:rPr>
          <w:rFonts w:ascii="Calibri" w:cs="Calibri" w:eastAsia="Calibri" w:hAnsi="Calibri"/>
          <w:sz w:val="22"/>
          <w:szCs w:val="22"/>
        </w:rPr>
        <w:t xml:space="preserve">Population 12 and up per region; 0.5% AAC prevalence; 65% reachable by a touch app.</w:t>
      </w:r>
    </w:p>
    <w:p>
      <w:pPr>
        <w:pStyle w:val="ListParagraph"/>
        <w:numPr>
          <w:ilvl w:val="0"/>
          <w:numId w:val="2"/>
        </w:numPr>
        <w:spacing w:after="80"/>
      </w:pPr>
      <w:r>
        <w:rPr>
          <w:rFonts w:ascii="Calibri" w:cs="Calibri" w:eastAsia="Calibri" w:hAnsi="Calibri"/>
          <w:sz w:val="22"/>
          <w:szCs w:val="22"/>
        </w:rPr>
        <w:t xml:space="preserve">15% of buyers subscribe and about 35% a year churn; about $3 a month of infrastructure per subscriber; about 4% refund and chargeback leakage.</w:t>
      </w:r>
    </w:p>
    <w:p>
      <w:pPr>
        <w:pStyle w:val="ListParagraph"/>
        <w:numPr>
          <w:ilvl w:val="0"/>
          <w:numId w:val="2"/>
        </w:numPr>
        <w:spacing w:after="80"/>
      </w:pPr>
      <w:r>
        <w:rPr>
          <w:rFonts w:ascii="Calibri" w:cs="Calibri" w:eastAsia="Calibri" w:hAnsi="Calibri"/>
          <w:sz w:val="22"/>
          <w:szCs w:val="22"/>
        </w:rPr>
        <w:t xml:space="preserve">Customer acquisition cost of $40 to $70 paid, planned 60 to 80% organic, about $12 blended.</w:t>
      </w:r>
    </w:p>
    <w:p>
      <w:pPr>
        <w:pStyle w:val="ListParagraph"/>
        <w:numPr>
          <w:ilvl w:val="0"/>
          <w:numId w:val="2"/>
        </w:numPr>
        <w:spacing w:after="80"/>
      </w:pPr>
      <w:r>
        <w:rPr>
          <w:rFonts w:ascii="Calibri" w:cs="Calibri" w:eastAsia="Calibri" w:hAnsi="Calibri"/>
          <w:sz w:val="22"/>
          <w:szCs w:val="22"/>
        </w:rPr>
        <w:t xml:space="preserve">13,194 US public school districts (NCES 2023 to 24); the IDEA at-no-cost obligation; Medicare funds about 2,000 to 3,000 speech devices a year; about $4,500 reimbursement per device.</w:t>
      </w:r>
    </w:p>
    <w:p>
      <w:pPr>
        <w:pStyle w:val="Heading2"/>
        <w:spacing w:after="100" w:before="240"/>
      </w:pPr>
      <w:r>
        <w:rPr>
          <w:rFonts w:ascii="Calibri" w:cs="Calibri" w:eastAsia="Calibri" w:hAnsi="Calibri"/>
        </w:rPr>
        <w:t xml:space="preserve">Labeled assumptions in the model</w:t>
      </w:r>
    </w:p>
    <w:p>
      <w:pPr>
        <w:pStyle w:val="ListParagraph"/>
        <w:numPr>
          <w:ilvl w:val="0"/>
          <w:numId w:val="2"/>
        </w:numPr>
        <w:spacing w:after="80"/>
      </w:pPr>
      <w:r>
        <w:rPr>
          <w:rFonts w:ascii="Calibri" w:cs="Calibri" w:eastAsia="Calibri" w:hAnsi="Calibri"/>
          <w:sz w:val="22"/>
          <w:szCs w:val="22"/>
        </w:rPr>
        <w:t xml:space="preserve">Penetration percentages by case. Five-year ramp of 8%, 16%, 22%, 26%, 28%.</w:t>
      </w:r>
    </w:p>
    <w:p>
      <w:pPr>
        <w:pStyle w:val="ListParagraph"/>
        <w:numPr>
          <w:ilvl w:val="0"/>
          <w:numId w:val="2"/>
        </w:numPr>
        <w:spacing w:after="80"/>
      </w:pPr>
      <w:r>
        <w:rPr>
          <w:rFonts w:ascii="Calibri" w:cs="Calibri" w:eastAsia="Calibri" w:hAnsi="Calibri"/>
          <w:sz w:val="22"/>
          <w:szCs w:val="22"/>
        </w:rPr>
        <w:t xml:space="preserve">District ramp and seats: Floor 10 districts at 30 seats; Mid 0, 3, 8, 16, 28 districts at 50 seats; Ceiling 200 districts at 50 seats with an education-support hire from Year 3.</w:t>
      </w:r>
    </w:p>
    <w:p>
      <w:pPr>
        <w:pStyle w:val="ListParagraph"/>
        <w:numPr>
          <w:ilvl w:val="0"/>
          <w:numId w:val="2"/>
        </w:numPr>
        <w:spacing w:after="80"/>
      </w:pPr>
      <w:r>
        <w:rPr>
          <w:rFonts w:ascii="Calibri" w:cs="Calibri" w:eastAsia="Calibri" w:hAnsi="Calibri"/>
          <w:sz w:val="22"/>
          <w:szCs w:val="22"/>
        </w:rPr>
        <w:t xml:space="preserve">Operating expenses of $24,000, $16,000, $20,000, $24,000, $28,000 across the five years. School support costs from $2,000 a year up to $95,000 in the Ceiling case.</w:t>
      </w:r>
    </w:p>
    <w:p>
      <w:pPr>
        <w:pStyle w:val="ListParagraph"/>
        <w:numPr>
          <w:ilvl w:val="0"/>
          <w:numId w:val="2"/>
        </w:numPr>
        <w:spacing w:after="80"/>
      </w:pPr>
      <w:r>
        <w:rPr>
          <w:rFonts w:ascii="Calibri" w:cs="Calibri" w:eastAsia="Calibri" w:hAnsi="Calibri"/>
          <w:sz w:val="22"/>
          <w:szCs w:val="22"/>
        </w:rPr>
        <w:t xml:space="preserve">15% of buyers take a dedicated device, 30% of those funded, when Phase 2 exists. Off in every table above.</w:t>
      </w:r>
    </w:p>
    <w:p>
      <w:pPr>
        <w:pStyle w:val="Heading2"/>
        <w:spacing w:after="100" w:before="240"/>
      </w:pPr>
      <w:r>
        <w:rPr>
          <w:rFonts w:ascii="Calibri" w:cs="Calibri" w:eastAsia="Calibri" w:hAnsi="Calibri"/>
        </w:rPr>
        <w:t xml:space="preserve">The sources the model cites, and how they stand under the sourcing rule set on 6 September</w:t>
      </w:r>
    </w:p>
    <w:p>
      <w:pPr>
        <w:pStyle w:val="ListParagraph"/>
        <w:numPr>
          <w:ilvl w:val="0"/>
          <w:numId w:val="2"/>
        </w:numPr>
        <w:spacing w:after="80"/>
      </w:pPr>
      <w:r>
        <w:rPr>
          <w:rFonts w:ascii="Calibri" w:cs="Calibri" w:eastAsia="Calibri" w:hAnsi="Calibri"/>
          <w:sz w:val="22"/>
          <w:szCs w:val="22"/>
        </w:rPr>
        <w:t xml:space="preserve">ASHA, AAC prevalence. A professional body. Stands.</w:t>
      </w:r>
    </w:p>
    <w:p>
      <w:pPr>
        <w:pStyle w:val="ListParagraph"/>
        <w:numPr>
          <w:ilvl w:val="0"/>
          <w:numId w:val="2"/>
        </w:numPr>
        <w:spacing w:after="80"/>
      </w:pPr>
      <w:r>
        <w:rPr>
          <w:rFonts w:ascii="Calibri" w:cs="Calibri" w:eastAsia="Calibri" w:hAnsi="Calibri"/>
          <w:sz w:val="22"/>
          <w:szCs w:val="22"/>
        </w:rPr>
        <w:t xml:space="preserve">CMS, Medicare speech device coverage and volume. A government body. Stands.</w:t>
      </w:r>
    </w:p>
    <w:p>
      <w:pPr>
        <w:pStyle w:val="ListParagraph"/>
        <w:numPr>
          <w:ilvl w:val="0"/>
          <w:numId w:val="2"/>
        </w:numPr>
        <w:spacing w:after="80"/>
      </w:pPr>
      <w:r>
        <w:rPr>
          <w:rFonts w:ascii="Calibri" w:cs="Calibri" w:eastAsia="Calibri" w:hAnsi="Calibri"/>
          <w:sz w:val="22"/>
          <w:szCs w:val="22"/>
        </w:rPr>
        <w:t xml:space="preserve">NCES, the count of US school districts. A government body. Stands.</w:t>
      </w:r>
    </w:p>
    <w:p>
      <w:pPr>
        <w:pStyle w:val="ListParagraph"/>
        <w:numPr>
          <w:ilvl w:val="0"/>
          <w:numId w:val="2"/>
        </w:numPr>
        <w:spacing w:after="80"/>
      </w:pPr>
      <w:r>
        <w:rPr>
          <w:rFonts w:ascii="Calibri" w:cs="Calibri" w:eastAsia="Calibri" w:hAnsi="Calibri"/>
          <w:sz w:val="22"/>
          <w:szCs w:val="22"/>
        </w:rPr>
        <w:t xml:space="preserve">ECTA Center, assistive technology funding under IDEA. A federally funded technical assistance center. Stands.</w:t>
      </w:r>
    </w:p>
    <w:p>
      <w:pPr>
        <w:pStyle w:val="ListParagraph"/>
        <w:numPr>
          <w:ilvl w:val="0"/>
          <w:numId w:val="2"/>
        </w:numPr>
        <w:spacing w:after="80"/>
      </w:pPr>
      <w:r>
        <w:rPr>
          <w:rFonts w:ascii="Calibri" w:cs="Calibri" w:eastAsia="Calibri" w:hAnsi="Calibri"/>
          <w:sz w:val="22"/>
          <w:szCs w:val="22"/>
        </w:rPr>
        <w:t xml:space="preserve">AssistiveWare, the AAC on iOS survey. A competitor’s blog post. Under the rule this is not a legitimate source for a fact about the market. The 65% touch-reachable figure and the 15 to 20% dedicated-device figure rest on it and must be re-sourced or relabeled as assumptions.</w:t>
      </w:r>
    </w:p>
    <w:p>
      <w:pPr>
        <w:pStyle w:val="ListParagraph"/>
        <w:numPr>
          <w:ilvl w:val="0"/>
          <w:numId w:val="2"/>
        </w:numPr>
        <w:spacing w:after="80"/>
      </w:pPr>
      <w:r>
        <w:rPr>
          <w:rFonts w:ascii="Calibri" w:cs="Calibri" w:eastAsia="Calibri" w:hAnsi="Calibri"/>
          <w:sz w:val="22"/>
          <w:szCs w:val="22"/>
        </w:rPr>
        <w:t xml:space="preserve">RevenueCat, subscription benchmarks, and Business of Apps, churn. A vendor report and an aggregator site. Under the rule neither stands. The 15% subscribe and 35% churn figures must be re-sourced or relabeled as assumptions.</w:t>
      </w:r>
    </w:p>
    <w:p>
      <w:pPr>
        <w:pStyle w:val="ListParagraph"/>
        <w:numPr>
          <w:ilvl w:val="0"/>
          <w:numId w:val="2"/>
        </w:numPr>
        <w:spacing w:after="80"/>
      </w:pPr>
      <w:r>
        <w:rPr>
          <w:rFonts w:ascii="Calibri" w:cs="Calibri" w:eastAsia="Calibri" w:hAnsi="Calibri"/>
          <w:sz w:val="22"/>
          <w:szCs w:val="22"/>
        </w:rPr>
        <w:t xml:space="preserve">Population figures are noted in the model as census, ONS and Statista. Census and ONS stand. Statista does not. Each region’s figure needs its own government source before this document is shown outside the company.</w:t>
      </w:r>
    </w:p>
    <w:p>
      <w:pPr>
        <w:pStyle w:val="Heading1"/>
        <w:spacing w:after="120" w:before="320"/>
      </w:pPr>
      <w:r>
        <w:rPr>
          <w:rFonts w:ascii="Calibri" w:cs="Calibri" w:eastAsia="Calibri" w:hAnsi="Calibri"/>
        </w:rPr>
        <w:t xml:space="preserve">6. What changed after the model was built, and what it does to the numbers</w:t>
      </w:r>
    </w:p>
    <w:p>
      <w:pPr>
        <w:pStyle w:val="ListParagraph"/>
        <w:numPr>
          <w:ilvl w:val="0"/>
          <w:numId w:val="2"/>
        </w:numPr>
        <w:spacing w:after="80"/>
      </w:pPr>
      <w:r>
        <w:rPr>
          <w:rFonts w:ascii="Calibri" w:cs="Calibri" w:eastAsia="Calibri" w:hAnsi="Calibri"/>
          <w:sz w:val="22"/>
          <w:szCs w:val="22"/>
        </w:rPr>
        <w:t xml:space="preserve">Price per family, never per phone (5 September). The model counts one buyer per copy and 15% of buyers subscribing. With the Family Code, one subscription covers a whole family. The model’s revenue lines need rebuilding around families, not copies. Not done.</w:t>
      </w:r>
    </w:p>
    <w:p>
      <w:pPr>
        <w:pStyle w:val="ListParagraph"/>
        <w:numPr>
          <w:ilvl w:val="0"/>
          <w:numId w:val="2"/>
        </w:numPr>
        <w:spacing w:after="80"/>
      </w:pPr>
      <w:r>
        <w:rPr>
          <w:rFonts w:ascii="Calibri" w:cs="Calibri" w:eastAsia="Calibri" w:hAnsi="Calibri"/>
          <w:sz w:val="22"/>
          <w:szCs w:val="22"/>
        </w:rPr>
        <w:t xml:space="preserve">Billing through RevenueCat (decided 5 September against, reversed by Frank on 7 September: "I looked into it more and I am good using RevenueCat"). RevenueCat’s own pricing page, read 7 September: nothing up to $2,500 in monthly tracked revenue, then 1% of what is tracked. The model crosses $2,500 a month in Year 1 in every case, so the cost is 1% of everything the stores sell; school licenses are invoiced by us and are not tracked. At the working prices: Floor $2,271 a year by Year 5 and $7,528 over five years (1.6% of five-year net profit); Mid $5,966 a year and $19,773 over five years (1.3%); Ceiling $14,613 a year and $48,431 over five years (1.0%). Read as 1% of all tracked revenue once over the line; the other reading lowers it by $25 a month.</w:t>
      </w:r>
    </w:p>
    <w:p>
      <w:pPr>
        <w:pStyle w:val="ListParagraph"/>
        <w:numPr>
          <w:ilvl w:val="0"/>
          <w:numId w:val="2"/>
        </w:numPr>
        <w:spacing w:after="80"/>
      </w:pPr>
      <w:r>
        <w:rPr>
          <w:rFonts w:ascii="Calibri" w:cs="Calibri" w:eastAsia="Calibri" w:hAnsi="Calibri"/>
          <w:sz w:val="22"/>
          <w:szCs w:val="22"/>
        </w:rPr>
        <w:t xml:space="preserve">SOS Family Alert is free and never gated (2 September). The model carries no cost for it. Texting costs are now verified from Twilio’s own price page: $0.0083 per outbound segment plus carrier fees of $0.0035 to $0.005, $1.15 a month for the number, and 10DLC registration fees whose amount is not on the page. One alert to one person, two segments, costs at most about $0.027. Not yet in the model.</w:t>
      </w:r>
    </w:p>
    <w:p>
      <w:pPr>
        <w:pStyle w:val="ListParagraph"/>
        <w:numPr>
          <w:ilvl w:val="0"/>
          <w:numId w:val="2"/>
        </w:numPr>
        <w:spacing w:after="80"/>
      </w:pPr>
      <w:r>
        <w:rPr>
          <w:rFonts w:ascii="Calibri" w:cs="Calibri" w:eastAsia="Calibri" w:hAnsi="Calibri"/>
          <w:sz w:val="22"/>
          <w:szCs w:val="22"/>
        </w:rPr>
        <w:t xml:space="preserve">Everyday texting, voice messages and Family Sync are subscription features (1 September principles; texting locked from day one, 5 September). The model’s $3 a month infrastructure per subscriber predates them and has not been checked against them.</w:t>
      </w:r>
    </w:p>
    <w:p>
      <w:pPr>
        <w:pStyle w:val="ListParagraph"/>
        <w:numPr>
          <w:ilvl w:val="0"/>
          <w:numId w:val="2"/>
        </w:numPr>
        <w:spacing w:after="80"/>
      </w:pPr>
      <w:r>
        <w:rPr>
          <w:rFonts w:ascii="Calibri" w:cs="Calibri" w:eastAsia="Calibri" w:hAnsi="Calibri"/>
          <w:sz w:val="22"/>
          <w:szCs w:val="22"/>
        </w:rPr>
        <w:t xml:space="preserve">The natural voice now costs ElevenLabs once per phrase, ever, across the whole family (7 September). The per-family monthly cost of the voice has still not been measured. That measurement, from our own logs and ElevenLabs’ own pricing page, is owed before the pricing session.</w:t>
      </w:r>
    </w:p>
    <w:p>
      <w:pPr>
        <w:pStyle w:val="ListParagraph"/>
        <w:numPr>
          <w:ilvl w:val="0"/>
          <w:numId w:val="2"/>
        </w:numPr>
        <w:spacing w:after="80"/>
      </w:pPr>
      <w:r>
        <w:rPr>
          <w:rFonts w:ascii="Calibri" w:cs="Calibri" w:eastAsia="Calibri" w:hAnsi="Calibri"/>
          <w:sz w:val="22"/>
          <w:szCs w:val="22"/>
        </w:rPr>
        <w:t xml:space="preserve">Apple’s 15% under the Small Business Program and Google’s 15% are verified (4 September). The model should use these rates explicitly.</w:t>
      </w:r>
    </w:p>
    <w:p>
      <w:pPr>
        <w:pStyle w:val="ListParagraph"/>
        <w:numPr>
          <w:ilvl w:val="0"/>
          <w:numId w:val="2"/>
        </w:numPr>
        <w:spacing w:after="80"/>
      </w:pPr>
      <w:r>
        <w:rPr>
          <w:rFonts w:ascii="Calibri" w:cs="Calibri" w:eastAsia="Calibri" w:hAnsi="Calibri"/>
          <w:sz w:val="22"/>
          <w:szCs w:val="22"/>
        </w:rPr>
        <w:t xml:space="preserve">Hardship families are marked paid by us (5 September). The model has no line for them. How many, and whether the program is a cost or a marketing line, is a decision for the pricing session.</w:t>
      </w:r>
    </w:p>
    <w:p>
      <w:pPr>
        <w:pStyle w:val="ListParagraph"/>
        <w:numPr>
          <w:ilvl w:val="0"/>
          <w:numId w:val="2"/>
        </w:numPr>
        <w:spacing w:after="80"/>
      </w:pPr>
      <w:r>
        <w:rPr>
          <w:rFonts w:ascii="Calibri" w:cs="Calibri" w:eastAsia="Calibri" w:hAnsi="Calibri"/>
          <w:sz w:val="22"/>
          <w:szCs w:val="22"/>
        </w:rPr>
        <w:t xml:space="preserve">The school pilot is real: the ESE director at Evan’s school requested it. Year 1 free pilot in every case stands.</w:t>
      </w:r>
    </w:p>
    <w:p>
      <w:pPr>
        <w:pStyle w:val="Heading1"/>
        <w:spacing w:after="120" w:before="320"/>
      </w:pPr>
      <w:r>
        <w:rPr>
          <w:rFonts w:ascii="Calibri" w:cs="Calibri" w:eastAsia="Calibri" w:hAnsi="Calibri"/>
        </w:rPr>
        <w:t xml:space="preserve">7. Costs and cash the plan should carry, from the record</w:t>
      </w:r>
    </w:p>
    <w:p>
      <w:pPr>
        <w:pStyle w:val="ListParagraph"/>
        <w:numPr>
          <w:ilvl w:val="0"/>
          <w:numId w:val="2"/>
        </w:numPr>
        <w:spacing w:after="80"/>
      </w:pPr>
      <w:r>
        <w:rPr>
          <w:rFonts w:ascii="Calibri" w:cs="Calibri" w:eastAsia="Calibri" w:hAnsi="Calibri"/>
          <w:sz w:val="22"/>
          <w:szCs w:val="22"/>
        </w:rPr>
        <w:t xml:space="preserve">Apple Developer Program: $99 a year, payable once the organization enrollment (submitted 4 September, still pending) is approved.</w:t>
      </w:r>
    </w:p>
    <w:p>
      <w:pPr>
        <w:pStyle w:val="ListParagraph"/>
        <w:numPr>
          <w:ilvl w:val="0"/>
          <w:numId w:val="2"/>
        </w:numPr>
        <w:spacing w:after="80"/>
      </w:pPr>
      <w:r>
        <w:rPr>
          <w:rFonts w:ascii="Calibri" w:cs="Calibri" w:eastAsia="Calibri" w:hAnsi="Calibri"/>
          <w:sz w:val="22"/>
          <w:szCs w:val="22"/>
        </w:rPr>
        <w:t xml:space="preserve">Google Play: $25 one-time for the organization account.</w:t>
      </w:r>
    </w:p>
    <w:p>
      <w:pPr>
        <w:pStyle w:val="ListParagraph"/>
        <w:numPr>
          <w:ilvl w:val="0"/>
          <w:numId w:val="2"/>
        </w:numPr>
        <w:spacing w:after="80"/>
      </w:pPr>
      <w:r>
        <w:rPr>
          <w:rFonts w:ascii="Calibri" w:cs="Calibri" w:eastAsia="Calibri" w:hAnsi="Calibri"/>
          <w:sz w:val="22"/>
          <w:szCs w:val="22"/>
        </w:rPr>
        <w:t xml:space="preserve">Twilio: per-text and per-number figures above, plus 10DLC registration fees, amount not yet seen.</w:t>
      </w:r>
    </w:p>
    <w:p>
      <w:pPr>
        <w:pStyle w:val="ListParagraph"/>
        <w:numPr>
          <w:ilvl w:val="0"/>
          <w:numId w:val="2"/>
        </w:numPr>
        <w:spacing w:after="80"/>
      </w:pPr>
      <w:r>
        <w:rPr>
          <w:rFonts w:ascii="Calibri" w:cs="Calibri" w:eastAsia="Calibri" w:hAnsi="Calibri"/>
          <w:sz w:val="22"/>
          <w:szCs w:val="22"/>
        </w:rPr>
        <w:t xml:space="preserve">ElevenLabs: the natural voice, per character, rate not yet read from the plan page.</w:t>
      </w:r>
    </w:p>
    <w:p>
      <w:pPr>
        <w:pStyle w:val="ListParagraph"/>
        <w:numPr>
          <w:ilvl w:val="0"/>
          <w:numId w:val="2"/>
        </w:numPr>
        <w:spacing w:after="80"/>
      </w:pPr>
      <w:r>
        <w:rPr>
          <w:rFonts w:ascii="Calibri" w:cs="Calibri" w:eastAsia="Calibri" w:hAnsi="Calibri"/>
          <w:sz w:val="22"/>
          <w:szCs w:val="22"/>
        </w:rPr>
        <w:t xml:space="preserve">Vercel and the key-value store: hosting and the family store. Current cost not recorded; take it from the Vercel billing page.</w:t>
      </w:r>
    </w:p>
    <w:p>
      <w:pPr>
        <w:pStyle w:val="ListParagraph"/>
        <w:numPr>
          <w:ilvl w:val="0"/>
          <w:numId w:val="2"/>
        </w:numPr>
        <w:spacing w:after="80"/>
      </w:pPr>
      <w:r>
        <w:rPr>
          <w:rFonts w:ascii="Calibri" w:cs="Calibri" w:eastAsia="Calibri" w:hAnsi="Calibri"/>
          <w:sz w:val="22"/>
          <w:szCs w:val="22"/>
        </w:rPr>
        <w:t xml:space="preserve">RevenueCat: 1% of store revenue once tracked revenue passes $2,500 a month (its own pricing page, 7 September). Section 6 has the figures per case.</w:t>
      </w:r>
    </w:p>
    <w:p>
      <w:pPr>
        <w:pStyle w:val="ListParagraph"/>
        <w:numPr>
          <w:ilvl w:val="0"/>
          <w:numId w:val="2"/>
        </w:numPr>
        <w:spacing w:after="80"/>
      </w:pPr>
      <w:r>
        <w:rPr>
          <w:rFonts w:ascii="Calibri" w:cs="Calibri" w:eastAsia="Calibri" w:hAnsi="Calibri"/>
          <w:sz w:val="22"/>
          <w:szCs w:val="22"/>
        </w:rPr>
        <w:t xml:space="preserve">Codemagic: the cloud Mac that builds and signs the app. Its price has not been read from its page.</w:t>
      </w:r>
    </w:p>
    <w:p>
      <w:pPr>
        <w:pStyle w:val="ListParagraph"/>
        <w:numPr>
          <w:ilvl w:val="0"/>
          <w:numId w:val="2"/>
        </w:numPr>
        <w:spacing w:after="80"/>
      </w:pPr>
      <w:r>
        <w:rPr>
          <w:rFonts w:ascii="Calibri" w:cs="Calibri" w:eastAsia="Calibri" w:hAnsi="Calibri"/>
          <w:sz w:val="22"/>
          <w:szCs w:val="22"/>
        </w:rPr>
        <w:t xml:space="preserve">Business bank account opened 4 September.</w:t>
      </w:r>
    </w:p>
    <w:p>
      <w:pPr>
        <w:pStyle w:val="Heading1"/>
        <w:spacing w:after="120" w:before="320"/>
      </w:pPr>
      <w:r>
        <w:rPr>
          <w:rFonts w:ascii="Calibri" w:cs="Calibri" w:eastAsia="Calibri" w:hAnsi="Calibri"/>
        </w:rPr>
        <w:t xml:space="preserve">8. What is owed to make this a plan you can show</w:t>
      </w:r>
    </w:p>
    <w:p>
      <w:pPr>
        <w:pStyle w:val="ListParagraph"/>
        <w:numPr>
          <w:ilvl w:val="0"/>
          <w:numId w:val="3"/>
        </w:numPr>
        <w:spacing w:after="100"/>
      </w:pPr>
      <w:r>
        <w:rPr>
          <w:rFonts w:ascii="Calibri" w:cs="Calibri" w:eastAsia="Calibri" w:hAnsi="Calibri"/>
          <w:sz w:val="22"/>
          <w:szCs w:val="22"/>
        </w:rPr>
        <w:t xml:space="preserve">The pricing session: comparables, per-family server cost, the family-based revenue shape, unit counts next to every dollar, and the model and this document updated together. Nothing publishes before you confirm.</w:t>
      </w:r>
    </w:p>
    <w:p>
      <w:pPr>
        <w:pStyle w:val="ListParagraph"/>
        <w:numPr>
          <w:ilvl w:val="0"/>
          <w:numId w:val="3"/>
        </w:numPr>
        <w:spacing w:after="100"/>
      </w:pPr>
      <w:r>
        <w:rPr>
          <w:rFonts w:ascii="Calibri" w:cs="Calibri" w:eastAsia="Calibri" w:hAnsi="Calibri"/>
          <w:sz w:val="22"/>
          <w:szCs w:val="22"/>
        </w:rPr>
        <w:t xml:space="preserve">Re-source or relabel the four figures that rest on a blog, a vendor report or an aggregator (section 5).</w:t>
      </w:r>
    </w:p>
    <w:p>
      <w:pPr>
        <w:pStyle w:val="ListParagraph"/>
        <w:numPr>
          <w:ilvl w:val="0"/>
          <w:numId w:val="3"/>
        </w:numPr>
        <w:spacing w:after="100"/>
      </w:pPr>
      <w:r>
        <w:rPr>
          <w:rFonts w:ascii="Calibri" w:cs="Calibri" w:eastAsia="Calibri" w:hAnsi="Calibri"/>
          <w:sz w:val="22"/>
          <w:szCs w:val="22"/>
        </w:rPr>
        <w:t xml:space="preserve">Measure the per-family monthly cost of the natural voice from our logs and ElevenLabs’ pricing page.</w:t>
      </w:r>
    </w:p>
    <w:p>
      <w:pPr>
        <w:pStyle w:val="ListParagraph"/>
        <w:numPr>
          <w:ilvl w:val="0"/>
          <w:numId w:val="3"/>
        </w:numPr>
        <w:spacing w:after="100"/>
      </w:pPr>
      <w:r>
        <w:rPr>
          <w:rFonts w:ascii="Calibri" w:cs="Calibri" w:eastAsia="Calibri" w:hAnsi="Calibri"/>
          <w:sz w:val="22"/>
          <w:szCs w:val="22"/>
        </w:rPr>
        <w:t xml:space="preserve">Read the remaining subscription costs from their own pages: Codemagic, Vercel, the key-value store, Twilio 10DLC fees.</w:t>
      </w:r>
    </w:p>
    <w:p>
      <w:pPr>
        <w:pStyle w:val="ListParagraph"/>
        <w:numPr>
          <w:ilvl w:val="0"/>
          <w:numId w:val="3"/>
        </w:numPr>
        <w:spacing w:after="100"/>
      </w:pPr>
      <w:r>
        <w:rPr>
          <w:rFonts w:ascii="Calibri" w:cs="Calibri" w:eastAsia="Calibri" w:hAnsi="Calibri"/>
          <w:sz w:val="22"/>
          <w:szCs w:val="22"/>
        </w:rPr>
        <w:t xml:space="preserve">Add the hardship program and the school pilot as explicit lines with counts.</w:t>
      </w:r>
    </w:p>
    <w:p>
      <w:pPr>
        <w:spacing w:after="120"/>
      </w:pPr>
      <w:r>
        <w:rPr>
          <w:rFonts w:ascii="Calibri" w:cs="Calibri" w:eastAsia="Calibri" w:hAnsi="Calibri"/>
          <w:sz w:val="22"/>
          <w:szCs w:val="22"/>
        </w:rPr>
        <w:t xml:space="preserve"/>
      </w:r>
    </w:p>
    <w:p>
      <w:pPr>
        <w:spacing w:after="120"/>
      </w:pPr>
      <w:r>
        <w:rPr>
          <w:rFonts w:ascii="Calibri" w:cs="Calibri" w:eastAsia="Calibri" w:hAnsi="Calibri"/>
          <w:b/>
          <w:bCs/>
          <w:sz w:val="22"/>
          <w:szCs w:val="22"/>
        </w:rPr>
        <w:t xml:space="preserve">Until those are done, every dollar in this document is the model’s internal working number, not a forecast to show a bank, a school or an investor.</w:t>
      </w:r>
    </w:p>
    <w:sectPr>
      <w:pgSz w:w="12240" w:h="15840" w:orient="portrait"/>
      <w:pgMar w:top="1100" w:right="1000" w:bottom="11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2026-09-08T01:56:46.618Z</dcterms:created>
  <dcterms:modified xsi:type="dcterms:W3CDTF">2026-09-08T01:56:46.630Z</dcterms:modified>
</cp:coreProperties>
</file>

<file path=docProps/custom.xml><?xml version="1.0" encoding="utf-8"?>
<Properties xmlns="http://schemas.openxmlformats.org/officeDocument/2006/custom-properties" xmlns:vt="http://schemas.openxmlformats.org/officeDocument/2006/docPropsVTypes"/>
</file>