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000"/>
        <w:gridCol w:w="24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Cannot rely on speech (counted market)</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aphasia</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Everyone 13 and over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 ages 3 to 21 (2022-23)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ages 3 to 21 (13.0%). Shown for scale; the count used is the 2024-25 federal file's 13 through 21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autism students aged 13 through 21 (2024-25)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386,380 of 1,111,435 aged 5 through 21</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115,914</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 all needs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headline, 2025/26: 538,547 pupils with an EHC plan (6.0%), autism the most common primary need (33.5%). Shown for scale; the count used is the autism-by-age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autism EHC pupils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49,463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14,839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40: a district's secondary schools and its 18 to 21 program at two or three seats a class, bought centrally. Claude's estimate, 9 Sep 2026;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130,753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rehab facility buys, 5. Claude's estimate;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Schools and clinicians buy EZvoxa Pro, its own listing, from EZ Voice direct on a purchase order, not through the stores (Frank, 8 September), at $249.99 list; the $124.99 figure at 20 or more seats is a stand-in for what negotiated large orders might average, Frank’s to set deal by deal. Florida Administrative Rule 6A-1.012, cited in St. Lucie’s own purchasing guidelines, exempts computer software bought directly from the copyright owner from competitive solicitation.</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districts are Frank's estimate (9 Sep 2026): "I see is starting 10 districts maybe 50-75 by year 3 to anywhere from 150-300 by year 5. I say that because by year 4 I would want all of Florida and once we get outside Florida? It should take off quickly." Base 10, 25, 60, 120 and 225 districts; Low 10, 20, 50, 90, 150; High 10, 35, 75, 180, 300; at 40 seats a district (Claude's assumption). Florida has 67 regular districts (NCES table 214.30), so Year 4 at Base is all of Florida plus about 50 outside it. Clinics are Claude's estimate and grow slowest (Frank, 9 Sep: individual sales, then school districts, then clinical): 2, 5, 12, 25 and 40 facilities at 5 seats. The dedicated-device AAC market is not in this widget, by Frank's instruction. Base is that estimate; Low is half; High is double. Consumer buyer shares are unchanged placeholders.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0.31%, 0.61%, 1.53%, 2.75%, 4.59%</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0.2%, 0.5%, 1.0%, 1.6%</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0.31%, 0.77%, 1.84%, 3.67%, 6.88%</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 0.4%, 1.0%, 2.1%, 3.3%</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0.31%, 1.07%, 2.29%, 5.51%, 9.18%</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0.3%, 0.8%, 2.0%, 4.1%, 6.5%</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the cost of selling Pro direct,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$12,912,947</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410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$514,005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($201,726)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$364,776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$312,279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$312,279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1,025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$1,405,622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($485,023)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$1,002,352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$920,600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$1,232,879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2,461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$3,043,575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($969,940)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$2,186,588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$2,073,635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$3,306,514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4,925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$5,342,844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($1,610,336)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$3,871,761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$3,732,508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$7,039,022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9,200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$8,230,329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($2,356,404)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$6,031,907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$5,873,925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$12,912,947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$18,536,375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($5,623,429)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$13,457,384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$12,912,947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$12,912,947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$10,947,964,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($191,367)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$271,391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$271,391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($464,759)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$812,748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$1,084,139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($927,765)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$1,808,210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$2,892,349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($1,532,735)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$3,194,534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$6,086,883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($2,219,341)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$4,861,081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$10,947,964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($5,335,967)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$10,947,964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$10,947,964</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(EZvoxa Pro seats): five-year net $1,919,211</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400 seats (0.31% of market), 10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($10,106)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$44,996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$39,890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$39,890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 seats (0.77% of market), 25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($19,769)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$112,491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$105,221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$145,111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2,401 seats (1.84% of market), 60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$300,101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($41,147)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$270,091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$258,954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$404,065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4,800 seats (3.67% of market), 120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$599,952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($75,632)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$539,957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$524,320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$928,385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9,000 seats (6.88% of market), 225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$1,124,910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($134,084)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$1,012,419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$990,826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$1,919,211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$2,199,949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($280,738)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$1,979,954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$1,919,211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$1,919,211</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(EZvoxa Pro seats): five-year net $45,771</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seats, 2 facilities (0.2%)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 seats, 5 facilities (0.4%)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$2,631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$3,628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$6,471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$10,099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 seats, 25 facilities (2.1%)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$15,624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($1,970)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$14,061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$13,654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$23,753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seats, 40 facilities (3.3%)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($2,980)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$22,498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$22,018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$45,771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$52,496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$47,245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$45,771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$45,771</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12,801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215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$8,725,411</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$5,852,682</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17,601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420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$18,536,375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$12,912,947</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24,001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$39,846,521</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$28,239,005</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2026-09-09T02:06:38.977Z</dcterms:created>
  <dcterms:modified xsi:type="dcterms:W3CDTF">2026-09-09T02:06:38.978Z</dcterms:modified>
</cp:coreProperties>
</file>

<file path=docProps/custom.xml><?xml version="1.0" encoding="utf-8"?>
<Properties xmlns="http://schemas.openxmlformats.org/officeDocument/2006/custom-properties" xmlns:vt="http://schemas.openxmlformats.org/officeDocument/2006/docPropsVTypes"/>
</file>