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600"/>
        <w:gridCol w:w="2000"/>
        <w:gridCol w:w="22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Population 13 and over</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Aphasia</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Counted market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6 to 21 under IDEA</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6,998,778</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tables 204.30 and 204.70, 2022-23: 7,525,941 children 3 to 21 served under IDEA, of whom 527,163 are 3 to 5.</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(13.0%).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who are 13 to 21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of the US 6 to 21 IDEA autism group who are 13 to 21: nine of sixteen ages, as if every age were equal in number. NCES does not publish the autism count by age in the tables read, and OSEP's autism fast-facts page blocked the request. Caution: England's own file shows only 29.9% of its autism EHC pupils aged 13 and over across ages 2 to 19, so the US share may be lower than this placeholder.</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165,375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(13.0%).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 all needs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headline, 2025/26: 538,547 pupils with an EHC plan (6.0%), autism the most common primary need (33.5%). Shown for scale; the count used is the autism-by-age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autism EHC pupils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49,463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14,839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180,214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facility buys.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therapists’ seats are priced at the school rate (Frank, 8 September).</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seat share is new seats each year as a share of the counted school market; clinic facility share is the share of facilities that have bought by that year, times seats per facility. Base is roughly twice the pasted hub's ramp in Year 1 as a share of market; Low is half of Base; High is twice Base.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0.20%, 0.50%, 0.90%, 1.30%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1.5%, 3.0%, 5.0%, 7.0%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0.40%, 1.00%, 1.80%, 2.60%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 3.0%, 6.0%, 10.0%, 14.0%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0.80%, 2.00%, 3.60%, 5.20%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6.0%, 12.0%, 20.0%, 28.0%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$12,235,865</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240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$492,757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($201,101)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$344,153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$291,656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$291,656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906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$1,390,749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($489,197)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$983,305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$901,552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$1,193,208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2,167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$3,006,828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($979,808)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$2,139,973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$2,027,020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$3,220,228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3,854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$5,208,980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($1,621,036)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$3,727,197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$3,587,945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$6,808,173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5,541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$7,772,991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($2,345,299)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$5,585,674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$5,427,692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$12,235,865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$17,872,305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($5,636,441)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$12,780,302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$12,235,865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$12,235,865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$10,932,727,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($193,406)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$269,354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$269,354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($465,554)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$811,953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$1,081,307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($929,005)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$1,806,969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$2,888,276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($1,535,901)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$3,191,367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$6,079,643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($2,227,337)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$4,853,084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$10,932,727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($5,351,203)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$10,932,727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$10,932,727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five-year net $1,090,768</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 seats (0.10% of market), 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$22,498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($5,772)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$16,727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$16,727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721 seats (0.40% of market), 18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$90,118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($18,815)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$76,600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$71,303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$88,030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1,802 seats (1.00% of market), 45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$225,232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($42,246)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$191,447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$182,986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$271,016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3,244 seats (1.80% of market), 81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$405,468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($71,660)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$344,647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$333,808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$604,824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4,686 seats (2.60% of market), 117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$585,703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$497,848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$485,944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$1,090,768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$1,329,019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($238,253)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$1,129,665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$1,090,768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$1,090,768</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five-year net $212,368</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$5,576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$5,576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 seats, 37 facilities (3.0%)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($4,828)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$18,295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$23,871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 seats, 73 facilities (6.0%)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$38,778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$37,064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$60,935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610 seats, 122 facilities (10.0%)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$62,769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$123,704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855 seats, 171 facilities (14.0%)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($18,202)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$90,836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$88,664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$212,368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$259,353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($46,986)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$220,450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$212,368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$212,368</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5,316</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$7,892,977</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$5,063,771</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10,633</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$17,872,305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$12,235,865</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21,265</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4,150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$39,918,266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$28,144,744</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2026-09-08T21:55:36.734Z</dcterms:created>
  <dcterms:modified xsi:type="dcterms:W3CDTF">2026-09-08T21:55:36.735Z</dcterms:modified>
</cp:coreProperties>
</file>

<file path=docProps/custom.xml><?xml version="1.0" encoding="utf-8"?>
<Properties xmlns="http://schemas.openxmlformats.org/officeDocument/2006/custom-properties" xmlns:vt="http://schemas.openxmlformats.org/officeDocument/2006/docPropsVTypes"/>
</file>