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EZvoxa Market Model and Business Plan</w:t>
      </w:r>
    </w:p>
    <w:p>
      <w:pPr>
        <w:spacing w:after="120"/>
      </w:pPr>
      <w:r>
        <w:rPr>
          <w:rFonts w:ascii="Calibri" w:cs="Calibri" w:eastAsia="Calibri" w:hAnsi="Calibri"/>
          <w:color w:val="6B6459"/>
          <w:sz w:val="22"/>
          <w:szCs w:val="22"/>
        </w:rPr>
        <w:t xml:space="preserve">8 September 2026. Built from scratch on Frank’s ask: who cannot rely on speech in the countries where the app is on sale from day one, and what a consumer model, a school district model and a clinical model earn if a chosen share of them buys. Generated from the same formulas as the market widget at market.html on our domain, so the two cannot disagree.</w:t>
      </w:r>
    </w:p>
    <w:p>
      <w:pPr>
        <w:spacing w:after="120"/>
      </w:pPr>
      <w:r>
        <w:rPr>
          <w:rFonts w:ascii="Calibri" w:cs="Calibri" w:eastAsia="Calibri" w:hAnsi="Calibri"/>
          <w:color w:val="6B6459"/>
          <w:sz w:val="20"/>
          <w:szCs w:val="20"/>
        </w:rPr>
        <w:t xml:space="preserve">Rules that apply to every line: no guessing, no assuming; every figure says where it came from or is labeled an assumption; sources are the entity’s own page or a government body, plus NIH-hosted research by Frank’s ruling; no price is confirmed until Frank confirms it.</w:t>
      </w:r>
    </w:p>
    <w:p>
      <w:pPr>
        <w:pStyle w:val="Heading1"/>
        <w:spacing w:after="120" w:before="320"/>
      </w:pPr>
      <w:r>
        <w:rPr>
          <w:rFonts w:ascii="Calibri" w:cs="Calibri" w:eastAsia="Calibri" w:hAnsi="Calibri"/>
        </w:rPr>
        <w:t xml:space="preserve">1. The launch market</w:t>
      </w:r>
    </w:p>
    <w:p>
      <w:pPr>
        <w:pStyle w:val="ListParagraph"/>
        <w:numPr>
          <w:ilvl w:val="0"/>
          <w:numId w:val="2"/>
        </w:numPr>
        <w:spacing w:after="80"/>
      </w:pPr>
      <w:r>
        <w:rPr>
          <w:rFonts w:ascii="Calibri" w:cs="Calibri" w:eastAsia="Calibri" w:hAnsi="Calibri"/>
          <w:sz w:val="22"/>
          <w:szCs w:val="22"/>
        </w:rPr>
        <w:t xml:space="preserve">English releases first. The launch market is the six countries where English is the home language of most people: the United States, the United Kingdom, Ireland, Canada, Australia and New Zealand. Frank’s ruling, 8 September: every other country is uncounted upside.</w:t>
      </w:r>
    </w:p>
    <w:p>
      <w:pPr>
        <w:pStyle w:val="ListParagraph"/>
        <w:numPr>
          <w:ilvl w:val="0"/>
          <w:numId w:val="2"/>
        </w:numPr>
        <w:spacing w:after="80"/>
      </w:pPr>
      <w:r>
        <w:rPr>
          <w:rFonts w:ascii="Calibri" w:cs="Calibri" w:eastAsia="Calibri" w:hAnsi="Calibri"/>
          <w:sz w:val="22"/>
          <w:szCs w:val="22"/>
        </w:rPr>
        <w:t xml:space="preserve">On sale in all six from day one on both stores. Google Play: paid apps, in-app purchases and subscriptions in all six countries (Google's supported locations page, 15 Dec 2025 version, pasted by Frank 8 Sep 2026). Apple: all six are App Store countries or regions with English as the default store language (App Store Connect reference, App Store localizations, pasted by Frank 8 Sep 2026). The same Apple list shows English (U.K.) as the default store language in India, Nigeria, the Philippines, South Africa, Singapore and most of Africa and the Caribbean, which is the uncounted upside.</w:t>
      </w:r>
    </w:p>
    <w:p>
      <w:pPr>
        <w:pStyle w:val="ListParagraph"/>
        <w:numPr>
          <w:ilvl w:val="0"/>
          <w:numId w:val="2"/>
        </w:numPr>
        <w:spacing w:after="80"/>
      </w:pPr>
      <w:r>
        <w:rPr>
          <w:rFonts w:ascii="Calibri" w:cs="Calibri" w:eastAsia="Calibri" w:hAnsi="Calibri"/>
          <w:sz w:val="22"/>
          <w:szCs w:val="22"/>
        </w:rPr>
        <w:t xml:space="preserve">If English shows traction, the next languages are chosen by the same method applied to the largest non-English store markets. No revenue is counted for them here.</w:t>
      </w:r>
    </w:p>
    <w:p>
      <w:pPr>
        <w:pStyle w:val="Heading1"/>
        <w:spacing w:after="120" w:before="320"/>
      </w:pPr>
      <w:r>
        <w:rPr>
          <w:rFonts w:ascii="Calibri" w:cs="Calibri" w:eastAsia="Calibri" w:hAnsi="Calibri"/>
        </w:rPr>
        <w:t xml:space="preserve">2. Who the app is for, counted</w:t>
      </w:r>
    </w:p>
    <w:p>
      <w:pPr>
        <w:spacing w:after="120"/>
      </w:pPr>
      <w:r>
        <w:rPr>
          <w:rFonts w:ascii="Calibri" w:cs="Calibri" w:eastAsia="Calibri" w:hAnsi="Calibri"/>
          <w:sz w:val="22"/>
          <w:szCs w:val="22"/>
        </w:rPr>
        <w:t xml:space="preserve">The count is built up by condition from sourced prevalence, applied to sourced populations. Only two conditions have both a count and a “cannot rely on speech” share that pass the sourcing rule: autism (minimally verbal) and aphasia. Everything else is listed as upside in section 3.</w:t>
      </w:r>
    </w:p>
    <w:p>
      <w:pPr>
        <w:pStyle w:val="Heading2"/>
        <w:spacing w:after="100" w:before="240"/>
      </w:pPr>
      <w:r>
        <w:rPr>
          <w:rFonts w:ascii="Calibri" w:cs="Calibri" w:eastAsia="Calibri" w:hAnsi="Calibri"/>
        </w:rPr>
        <w:t xml:space="preserve">Consumer market: people 13 and over who cannot rely on speech</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400"/>
      </w:tblGrid>
      <w:tr>
        <w:tc>
          <w:tcPr>
            <w:tcW w:type="dxa" w:w="2600"/>
            <w:shd w:fill="E8E3DA" w:color="auto" w:val="clear"/>
            <w:tcMar>
              <w:top w:type="dxa" w:w="50"/>
              <w:left w:type="dxa" w:w="70"/>
              <w:bottom w:type="dxa" w:w="50"/>
              <w:right w:type="dxa" w:w="70"/>
            </w:tcMar>
          </w:tcPr>
          <w:p>
            <w:pPr>
              <w:jc w:val="left"/>
            </w:pPr>
            <w:r>
              <w:rPr>
                <w:rFonts w:ascii="Calibri" w:cs="Calibri" w:eastAsia="Calibri" w:hAnsi="Calibri"/>
                <w:b/>
                <w:bCs/>
                <w:sz w:val="18"/>
                <w:szCs w:val="18"/>
              </w:rPr>
              <w:t xml:space="preserve">Country</w:t>
            </w:r>
          </w:p>
        </w:tc>
        <w:tc>
          <w:tcPr>
            <w:tcW w:type="dxa" w:w="2600"/>
            <w:shd w:fill="E8E3DA" w:color="auto" w:val="clear"/>
            <w:tcMar>
              <w:top w:type="dxa" w:w="50"/>
              <w:left w:type="dxa" w:w="70"/>
              <w:bottom w:type="dxa" w:w="50"/>
              <w:right w:type="dxa" w:w="70"/>
            </w:tcMar>
          </w:tcPr>
          <w:p>
            <w:pPr>
              <w:jc w:val="left"/>
            </w:pPr>
            <w:r>
              <w:rPr>
                <w:rFonts w:ascii="Calibri" w:cs="Calibri" w:eastAsia="Calibri" w:hAnsi="Calibri"/>
                <w:b/>
                <w:bCs/>
                <w:sz w:val="18"/>
                <w:szCs w:val="18"/>
              </w:rPr>
              <w:t xml:space="preserve">Cannot rely on speech (counted market)</w:t>
            </w:r>
          </w:p>
        </w:tc>
        <w:tc>
          <w:tcPr>
            <w:tcW w:type="dxa" w:w="2600"/>
            <w:shd w:fill="E8E3DA" w:color="auto" w:val="clear"/>
            <w:tcMar>
              <w:top w:type="dxa" w:w="50"/>
              <w:left w:type="dxa" w:w="70"/>
              <w:bottom w:type="dxa" w:w="50"/>
              <w:right w:type="dxa" w:w="70"/>
            </w:tcMar>
          </w:tcPr>
          <w:p>
            <w:pPr>
              <w:jc w:val="left"/>
            </w:pPr>
            <w:r>
              <w:rPr>
                <w:rFonts w:ascii="Calibri" w:cs="Calibri" w:eastAsia="Calibri" w:hAnsi="Calibri"/>
                <w:b/>
                <w:bCs/>
                <w:sz w:val="18"/>
                <w:szCs w:val="18"/>
              </w:rPr>
              <w:t xml:space="preserve">Of whom autism, minimally verbal</w:t>
            </w:r>
          </w:p>
        </w:tc>
        <w:tc>
          <w:tcPr>
            <w:tcW w:type="dxa" w:w="2000"/>
            <w:shd w:fill="E8E3DA" w:color="auto" w:val="clear"/>
            <w:tcMar>
              <w:top w:type="dxa" w:w="50"/>
              <w:left w:type="dxa" w:w="70"/>
              <w:bottom w:type="dxa" w:w="50"/>
              <w:right w:type="dxa" w:w="70"/>
            </w:tcMar>
          </w:tcPr>
          <w:p>
            <w:pPr>
              <w:jc w:val="left"/>
            </w:pPr>
            <w:r>
              <w:rPr>
                <w:rFonts w:ascii="Calibri" w:cs="Calibri" w:eastAsia="Calibri" w:hAnsi="Calibri"/>
                <w:b/>
                <w:bCs/>
                <w:sz w:val="18"/>
                <w:szCs w:val="18"/>
              </w:rPr>
              <w:t xml:space="preserve">Of whom aphasia</w:t>
            </w:r>
          </w:p>
        </w:tc>
        <w:tc>
          <w:tcPr>
            <w:tcW w:type="dxa" w:w="2400"/>
            <w:shd w:fill="E8E3DA" w:color="auto" w:val="clear"/>
            <w:tcMar>
              <w:top w:type="dxa" w:w="50"/>
              <w:left w:type="dxa" w:w="70"/>
              <w:bottom w:type="dxa" w:w="50"/>
              <w:right w:type="dxa" w:w="70"/>
            </w:tcMar>
          </w:tcPr>
          <w:p>
            <w:pPr>
              <w:jc w:val="left"/>
            </w:pPr>
            <w:r>
              <w:rPr>
                <w:rFonts w:ascii="Calibri" w:cs="Calibri" w:eastAsia="Calibri" w:hAnsi="Calibri"/>
                <w:b/>
                <w:bCs/>
                <w:sz w:val="18"/>
                <w:szCs w:val="18"/>
              </w:rPr>
              <w:t xml:space="preserve">Everyone 13 and over</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8"/>
                <w:szCs w:val="18"/>
              </w:rPr>
              <w:t xml:space="preserve">United States</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2,842,533</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842,533</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2,000,000</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288,872,301</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8"/>
                <w:szCs w:val="18"/>
              </w:rPr>
              <w:t xml:space="preserve">United Kingdom</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549,917</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139,894</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410,022</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59,222,071</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8"/>
                <w:szCs w:val="18"/>
              </w:rPr>
              <w:t xml:space="preserve">Canada</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328,749</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83,631</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245,118</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35,403,905</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8"/>
                <w:szCs w:val="18"/>
              </w:rPr>
              <w:t xml:space="preserve">Australia</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218,049</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55,470</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162,579</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23,482,317</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8"/>
                <w:szCs w:val="18"/>
              </w:rPr>
              <w:t xml:space="preserve">New Zealand</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42,027</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10,691</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31,336</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4,525,995</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8"/>
                <w:szCs w:val="18"/>
              </w:rPr>
              <w:t xml:space="preserve">Ireland</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43,494</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11,065</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32,430</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4,684,040</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8"/>
                <w:szCs w:val="18"/>
              </w:rPr>
              <w:t xml:space="preserve">Six countries</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4,024,770</w:t>
            </w:r>
          </w:p>
        </w:tc>
        <w:tc>
          <w:tcPr>
            <w:tcW w:type="dxa" w:w="26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1,143,285</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2,881,485</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8"/>
                <w:szCs w:val="18"/>
              </w:rPr>
              <w:t xml:space="preserve">416,190,629</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Where each figure comes from</w:t>
      </w:r>
    </w:p>
    <w:p>
      <w:pPr>
        <w:pStyle w:val="ListParagraph"/>
        <w:numPr>
          <w:ilvl w:val="0"/>
          <w:numId w:val="2"/>
        </w:numPr>
        <w:spacing w:after="80"/>
      </w:pPr>
      <w:r>
        <w:rPr>
          <w:rFonts w:ascii="Calibri" w:cs="Calibri" w:eastAsia="Calibri" w:hAnsi="Calibri"/>
          <w:sz w:val="22"/>
          <w:szCs w:val="22"/>
        </w:rPr>
        <w:t xml:space="preserve">Verified from the entity’s own page. Census Bureau national population by single year of age, NC-EST2024, vintage 2024: total 340,110,988; 13 and over 288,872,301; 13 to 17 21,894,033. Read 8 Sep 2026.</w:t>
      </w:r>
    </w:p>
    <w:p>
      <w:pPr>
        <w:pStyle w:val="ListParagraph"/>
        <w:numPr>
          <w:ilvl w:val="0"/>
          <w:numId w:val="2"/>
        </w:numPr>
        <w:spacing w:after="80"/>
      </w:pPr>
      <w:r>
        <w:rPr>
          <w:rFonts w:ascii="Calibri" w:cs="Calibri" w:eastAsia="Calibri" w:hAnsi="Calibri"/>
          <w:sz w:val="22"/>
          <w:szCs w:val="22"/>
        </w:rPr>
        <w:t xml:space="preserve">Verified from the entity’s own page. ONS mid-2024 estimates file (mye24tablesuk.xlsx, MYE2 Persons by single year of age): all ages 69,281,437; 13 and over 59,222,071 (85.5%). Read 8 Sep 2026.</w:t>
      </w:r>
    </w:p>
    <w:p>
      <w:pPr>
        <w:pStyle w:val="ListParagraph"/>
        <w:numPr>
          <w:ilvl w:val="0"/>
          <w:numId w:val="2"/>
        </w:numPr>
        <w:spacing w:after="80"/>
      </w:pPr>
      <w:r>
        <w:rPr>
          <w:rFonts w:ascii="Calibri" w:cs="Calibri" w:eastAsia="Calibri" w:hAnsi="Calibri"/>
          <w:sz w:val="22"/>
          <w:szCs w:val="22"/>
        </w:rPr>
        <w:t xml:space="preserve">Verified from the entity’s own page. Statistics Canada, The Daily, 24 Sep 2025: population 41,651,653 on 1 July 2025; 0 to 14 is 15.0%. The figure used is 15 and over, 85.0%; 13 and 14 year olds are not added because the single-age table renders only in a browser, so the count is slightly low.</w:t>
      </w:r>
    </w:p>
    <w:p>
      <w:pPr>
        <w:pStyle w:val="ListParagraph"/>
        <w:numPr>
          <w:ilvl w:val="0"/>
          <w:numId w:val="2"/>
        </w:numPr>
        <w:spacing w:after="80"/>
      </w:pPr>
      <w:r>
        <w:rPr>
          <w:rFonts w:ascii="Calibri" w:cs="Calibri" w:eastAsia="Calibri" w:hAnsi="Calibri"/>
          <w:sz w:val="22"/>
          <w:szCs w:val="22"/>
        </w:rPr>
        <w:t xml:space="preserve">Verified from the entity’s own page. Australian Bureau of Statistics, National, state and territory population, table 59, population by single year of age, June 2025: all ages 27,611,026; 13 and over 23,482,317 (85.1%). Read 8 Sep 2026. The December 2025 headline total is 27,801,023.</w:t>
      </w:r>
    </w:p>
    <w:p>
      <w:pPr>
        <w:pStyle w:val="ListParagraph"/>
        <w:numPr>
          <w:ilvl w:val="0"/>
          <w:numId w:val="2"/>
        </w:numPr>
        <w:spacing w:after="80"/>
      </w:pPr>
      <w:r>
        <w:rPr>
          <w:rFonts w:ascii="Calibri" w:cs="Calibri" w:eastAsia="Calibri" w:hAnsi="Calibri"/>
          <w:sz w:val="22"/>
          <w:szCs w:val="22"/>
        </w:rPr>
        <w:t xml:space="preserve">Verified from the entity’s own page. Stats NZ, 5,324,700 at 30 June 2025. Read 8 Sep 2026. The age split is not in hand: the release's tables render only in a browser, so the 85% placeholder share applies to New Zealand alone.</w:t>
      </w:r>
    </w:p>
    <w:p>
      <w:pPr>
        <w:pStyle w:val="ListParagraph"/>
        <w:numPr>
          <w:ilvl w:val="0"/>
          <w:numId w:val="2"/>
        </w:numPr>
        <w:spacing w:after="80"/>
      </w:pPr>
      <w:r>
        <w:rPr>
          <w:rFonts w:ascii="Calibri" w:cs="Calibri" w:eastAsia="Calibri" w:hAnsi="Calibri"/>
          <w:sz w:val="22"/>
          <w:szCs w:val="22"/>
        </w:rPr>
        <w:t xml:space="preserve">Verified from the entity’s own page. Central Statistics Office data service, table PEA01, April 2026 estimate: all ages 5,525,600; 15 and over 4,533,200; 10 to 14 377,100. 13 and over taken as 15 and over plus two fifths of 10 to 14, 4,684,040 (84.8%). Read 8 Sep 2026.</w:t>
      </w:r>
    </w:p>
    <w:p>
      <w:pPr>
        <w:pStyle w:val="ListParagraph"/>
        <w:numPr>
          <w:ilvl w:val="0"/>
          <w:numId w:val="2"/>
        </w:numPr>
        <w:spacing w:after="80"/>
      </w:pPr>
      <w:r>
        <w:rPr>
          <w:rFonts w:ascii="Calibri" w:cs="Calibri" w:eastAsia="Calibri" w:hAnsi="Calibri"/>
          <w:sz w:val="22"/>
          <w:szCs w:val="22"/>
        </w:rPr>
        <w:t xml:space="preserve">Assumption, Frank’s to set. Share aged 13 and over where a country's own age table is not in hand. After 8 Sep this applies only to New Zealand. The four countries with their own tables came out at 85.5% (UK), 85.0% (Canada, 15 and over), 85.1% (Australia) and 84.8% (Ireland), so the placeholder is in line.</w:t>
      </w:r>
    </w:p>
    <w:p>
      <w:pPr>
        <w:pStyle w:val="ListParagraph"/>
        <w:numPr>
          <w:ilvl w:val="0"/>
          <w:numId w:val="2"/>
        </w:numPr>
        <w:spacing w:after="80"/>
      </w:pPr>
      <w:r>
        <w:rPr>
          <w:rFonts w:ascii="Calibri" w:cs="Calibri" w:eastAsia="Calibri" w:hAnsi="Calibri"/>
          <w:sz w:val="22"/>
          <w:szCs w:val="22"/>
        </w:rPr>
        <w:t xml:space="preserve">Verified from the entity’s own page. WHO autism fact sheet: in 2021 about 1 in 127 persons worldwide had autism. Applied to everyone 18 and over, and to 13 to 17 outside the US.</w:t>
      </w:r>
    </w:p>
    <w:p>
      <w:pPr>
        <w:pStyle w:val="ListParagraph"/>
        <w:numPr>
          <w:ilvl w:val="0"/>
          <w:numId w:val="2"/>
        </w:numPr>
        <w:spacing w:after="80"/>
      </w:pPr>
      <w:r>
        <w:rPr>
          <w:rFonts w:ascii="Calibri" w:cs="Calibri" w:eastAsia="Calibri" w:hAnsi="Calibri"/>
          <w:sz w:val="22"/>
          <w:szCs w:val="22"/>
        </w:rPr>
        <w:t xml:space="preserve">Verified from the entity’s own page. CDC ADDM Network: about 1 in 31 children aged 8 identified with autism (2022). Applying an 8-year-old rate to 13 to 17 year olds is an assumption; it is the only US rate CDC publishes for children.</w:t>
      </w:r>
    </w:p>
    <w:p>
      <w:pPr>
        <w:pStyle w:val="ListParagraph"/>
        <w:numPr>
          <w:ilvl w:val="0"/>
          <w:numId w:val="2"/>
        </w:numPr>
        <w:spacing w:after="80"/>
      </w:pPr>
      <w:r>
        <w:rPr>
          <w:rFonts w:ascii="Calibri" w:cs="Calibri" w:eastAsia="Calibri" w:hAnsi="Calibri"/>
          <w:sz w:val="22"/>
          <w:szCs w:val="22"/>
        </w:rPr>
        <w:t xml:space="preserve">Verified from the entity’s own page. Tager-Flusberg and Kasari 2013, NIH-hosted (PMC3869868): about 30% of children with autism remain minimally verbal even after years of intervention. Applied to adults as well, which is an assumption; the study is about school-aged children.</w:t>
      </w:r>
    </w:p>
    <w:p>
      <w:pPr>
        <w:pStyle w:val="ListParagraph"/>
        <w:numPr>
          <w:ilvl w:val="0"/>
          <w:numId w:val="2"/>
        </w:numPr>
        <w:spacing w:after="80"/>
      </w:pPr>
      <w:r>
        <w:rPr>
          <w:rFonts w:ascii="Calibri" w:cs="Calibri" w:eastAsia="Calibri" w:hAnsi="Calibri"/>
          <w:sz w:val="22"/>
          <w:szCs w:val="22"/>
        </w:rPr>
        <w:t xml:space="preserve">Verified from the entity’s own page. NIDCD (NIH): about 2 million people in the United States have aphasia, nearly 180,000 acquire it each year. The same rate per head is applied to the other five countries, which is an assumption. Stroke survivors are not counted separately, because aphasia is the speech-loss part of stroke and counting both would double count.</w:t>
      </w:r>
    </w:p>
    <w:p>
      <w:pPr>
        <w:pStyle w:val="Heading2"/>
        <w:spacing w:after="100" w:before="240"/>
      </w:pPr>
      <w:r>
        <w:rPr>
          <w:rFonts w:ascii="Calibri" w:cs="Calibri" w:eastAsia="Calibri" w:hAnsi="Calibri"/>
        </w:rPr>
        <w:t xml:space="preserve">School market: students 13 to 21 in special education who cannot rely on speech</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7000"/>
      </w:tblGrid>
      <w:tr>
        <w:tc>
          <w:tcPr>
            <w:tcW w:type="dxa" w:w="28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Line</w:t>
            </w:r>
          </w:p>
        </w:tc>
        <w:tc>
          <w:tcPr>
            <w:tcW w:type="dxa" w:w="16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Figure</w:t>
            </w:r>
          </w:p>
        </w:tc>
        <w:tc>
          <w:tcPr>
            <w:tcW w:type="dxa" w:w="24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Standing</w:t>
            </w:r>
          </w:p>
        </w:tc>
        <w:tc>
          <w:tcPr>
            <w:tcW w:type="dxa" w:w="70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Where it came from</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US students under the autism category, ages 3 to 21 (2022-23)</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980,000</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NCES Digest table 204.30, 2022-23: 980,000 served under the autism category ages 3 to 21 (13.0%). Shown for scale; the count used is the 2024-25 federal file's 13 through 21 line.</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US autism students aged 13 through 21 (2024-25)</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386,380 of 1,111,435 aged 5 through 21</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US Department of Education, Office of Special Education Programs, IDEA Section 618 Part B Child Count and Educational Environments 2024-25 (bchildcountandedenvironment2024-25.csv, data.ed.gov), national total row 'US, Outlying Areas, and Freely Associated States', environment 'Total, School Age', disability Autism: ages 13 through 21 sum to 386,380 (ages 13 to 17: 142,976, 134,732, 129,100, 123,068, 112,074; 18 to 21: 59,415, 30,860, 24,236, 16,290); ages 5 through 21 sum to 1,111,435, so 13 through 21 is 34.8%. Read 8 Sep 2026.</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Minimally verbal share</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30%</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Tager-Flusberg and Kasari 2013, NIH-hosted (PMC3869868): about 30% of children with autism remain minimally verbal even after years of intervention. Applied to adults as well, which is an assumption; the study is about school-aged children.</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US counted school seats</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115,914</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US Department of Education, Office of Special Education Programs, IDEA Section 618 Part B Child Count and Educational Environments 2024-25 (bchildcountandedenvironment2024-25.csv, data.ed.gov), national total row 'US, Outlying Areas, and Freely Associated States', environment 'Total, School Age', disability Autism: ages 13 through 21 sum to 386,380 (ages 13 to 17: 142,976, 134,732, 129,100, 123,068, 112,074; 18 to 21: 59,415, 30,860, 24,236, 16,290); ages 5 through 21 sum to 1,111,435, so 13 through 21 is 34.8%. Read 8 Sep 2026.</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England pupils with an EHC plan, all needs</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538,547</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Department for Education headline, 2025/26: 538,547 pupils with an EHC plan (6.0%), autism the most common primary need (33.5%). Shown for scale; the count used is the autism-by-age line.</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England autism EHC pupils aged 13 and over</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49,463</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Department for Education, special educational needs in England 2025/26, data file sen_age_sex_api.csv (national, all school types, EHC plan, primary need autistic spectrum disorder): 165,399 pupils, of whom 49,463 are aged 13 and over (29.9%). Across all needs, 153,839 of 493,764 EHC pupils in that file are 13 and over (31.2%). Read 8 Sep 2026.</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England counted school seats</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14,839</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Department for Education, special educational needs in England 2025/26, data file sen_age_sex_api.csv (national, all school types, EHC plan, primary need autistic spectrum disorder): 165,399 pupils, of whom 49,463 are aged 13 and over (29.9%). Across all needs, 153,839 of 493,764 EHC pupils in that file are 13 and over (31.2%). Read 8 Sep 2026.</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US regular school districts</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13,349</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NCES Digest table 214.30: 13,349 regular public school districts in 2019-20.</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Seats per district order</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40</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Assumption, Frank’s to set</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Average seats in a district order. Nobody has sold one yet.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Counted school market: 130,753 seats, US and England. Special education outside those two is not yet read.</w:t>
      </w:r>
    </w:p>
    <w:p>
      <w:pPr>
        <w:pStyle w:val="Heading2"/>
        <w:spacing w:after="100" w:before="240"/>
      </w:pPr>
      <w:r>
        <w:rPr>
          <w:rFonts w:ascii="Calibri" w:cs="Calibri" w:eastAsia="Calibri" w:hAnsi="Calibri"/>
        </w:rPr>
        <w:t xml:space="preserve">Clinical market: facilities that treat loss of speech</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7000"/>
      </w:tblGrid>
      <w:tr>
        <w:tc>
          <w:tcPr>
            <w:tcW w:type="dxa" w:w="28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Line</w:t>
            </w:r>
          </w:p>
        </w:tc>
        <w:tc>
          <w:tcPr>
            <w:tcW w:type="dxa" w:w="16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Figure</w:t>
            </w:r>
          </w:p>
        </w:tc>
        <w:tc>
          <w:tcPr>
            <w:tcW w:type="dxa" w:w="24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Standing</w:t>
            </w:r>
          </w:p>
        </w:tc>
        <w:tc>
          <w:tcPr>
            <w:tcW w:type="dxa" w:w="70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Where it came from</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US inpatient rehabilitation facilities, Medicare-certified</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1,222</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Verified from the entity’s own page</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CMS Provider Data Catalog, Inpatient Rehabilitation Facility general information dataset: 1,222 Medicare-certified facilities, 8 Sep 2026. Outpatient speech therapy practices, ALS clinics and the other four countries' rehab centers are not counted: the US labor statistics page for speech-language pathologists blocked the request and ASHA's site answers with a bot challenge.</w:t>
            </w:r>
          </w:p>
        </w:tc>
      </w:tr>
      <w:tr>
        <w:tc>
          <w:tcPr>
            <w:tcW w:type="dxa" w:w="2800"/>
            <w:tcMar>
              <w:top w:type="dxa" w:w="50"/>
              <w:left w:type="dxa" w:w="70"/>
              <w:bottom w:type="dxa" w:w="50"/>
              <w:right w:type="dxa" w:w="70"/>
            </w:tcMar>
          </w:tcPr>
          <w:p>
            <w:pPr>
              <w:jc w:val="left"/>
            </w:pPr>
            <w:r>
              <w:rPr>
                <w:rFonts w:ascii="Calibri" w:cs="Calibri" w:eastAsia="Calibri" w:hAnsi="Calibri"/>
                <w:b w:val="false"/>
                <w:bCs w:val="false"/>
                <w:sz w:val="16"/>
                <w:szCs w:val="16"/>
              </w:rPr>
              <w:t xml:space="preserve">Seats per facility</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5</w:t>
            </w:r>
          </w:p>
        </w:tc>
        <w:tc>
          <w:tcPr>
            <w:tcW w:type="dxa" w:w="2400"/>
            <w:tcMar>
              <w:top w:type="dxa" w:w="50"/>
              <w:left w:type="dxa" w:w="70"/>
              <w:bottom w:type="dxa" w:w="50"/>
              <w:right w:type="dxa" w:w="70"/>
            </w:tcMar>
          </w:tcPr>
          <w:p>
            <w:pPr>
              <w:jc w:val="left"/>
            </w:pPr>
            <w:r>
              <w:rPr>
                <w:rFonts w:ascii="Calibri" w:cs="Calibri" w:eastAsia="Calibri" w:hAnsi="Calibri"/>
                <w:b w:val="false"/>
                <w:bCs w:val="false"/>
                <w:sz w:val="16"/>
                <w:szCs w:val="16"/>
              </w:rPr>
              <w:t xml:space="preserve">Assumption, Frank’s to set</w:t>
            </w:r>
          </w:p>
        </w:tc>
        <w:tc>
          <w:tcPr>
            <w:tcW w:type="dxa" w:w="7000"/>
            <w:tcMar>
              <w:top w:type="dxa" w:w="50"/>
              <w:left w:type="dxa" w:w="70"/>
              <w:bottom w:type="dxa" w:w="50"/>
              <w:right w:type="dxa" w:w="70"/>
            </w:tcMar>
          </w:tcPr>
          <w:p>
            <w:pPr>
              <w:jc w:val="left"/>
            </w:pPr>
            <w:r>
              <w:rPr>
                <w:rFonts w:ascii="Calibri" w:cs="Calibri" w:eastAsia="Calibri" w:hAnsi="Calibri"/>
                <w:b w:val="false"/>
                <w:bCs w:val="false"/>
                <w:sz w:val="16"/>
                <w:szCs w:val="16"/>
              </w:rPr>
              <w:t xml:space="preserve">Seats a facility buys. Nobody has sold one yet.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Clinical means speech therapy centers, stroke rehab, other rehab, ALS clinics and any loss-of-speech rehab center (Frank, 8 September). Only the US inpatient rehab facilities are counted so far. Schools and clinicians buy EZvoxa Pro, its own listing, from EZ Voice direct on a purchase order, not through the stores (Frank, 8 September), at $249.99 list; the $124.99 figure at 20 or more seats is a stand-in for what negotiated large orders might average, Frank’s to set deal by deal. Florida Administrative Rule 6A-1.012, cited in St. Lucie’s own purchasing guidelines, exempts computer software bought directly from the copyright owner from competitive solicitation.</w:t>
      </w:r>
    </w:p>
    <w:p>
      <w:pPr>
        <w:pStyle w:val="Heading1"/>
        <w:spacing w:after="120" w:before="320"/>
      </w:pPr>
      <w:r>
        <w:rPr>
          <w:rFonts w:ascii="Calibri" w:cs="Calibri" w:eastAsia="Calibri" w:hAnsi="Calibri"/>
        </w:rPr>
        <w:t xml:space="preserve">3. Counted as upside, not in the numbers</w:t>
      </w:r>
    </w:p>
    <w:p>
      <w:pPr>
        <w:pStyle w:val="ListParagraph"/>
        <w:numPr>
          <w:ilvl w:val="0"/>
          <w:numId w:val="2"/>
        </w:numPr>
        <w:spacing w:after="80"/>
      </w:pPr>
      <w:r>
        <w:rPr>
          <w:rFonts w:ascii="Calibri" w:cs="Calibri" w:eastAsia="Calibri" w:hAnsi="Calibri"/>
          <w:sz w:val="22"/>
          <w:szCs w:val="22"/>
        </w:rPr>
        <w:t xml:space="preserve">Every other country where English is official but not the home language: India, Nigeria, the Philippines, South Africa, Singapore and the rest of the stores’ lists.</w:t>
      </w:r>
    </w:p>
    <w:p>
      <w:pPr>
        <w:pStyle w:val="ListParagraph"/>
        <w:numPr>
          <w:ilvl w:val="0"/>
          <w:numId w:val="2"/>
        </w:numPr>
        <w:spacing w:after="80"/>
      </w:pPr>
      <w:r>
        <w:rPr>
          <w:rFonts w:ascii="Calibri" w:cs="Calibri" w:eastAsia="Calibri" w:hAnsi="Calibri"/>
          <w:sz w:val="22"/>
          <w:szCs w:val="22"/>
        </w:rPr>
        <w:t xml:space="preserve">Undiagnosed and wrongly diagnosed people. The counts are of identified people. No source gives a multiplier, so none is applied; symptom-based counts such as NIDCD’s speech and language disorder figures are the cross-check.</w:t>
      </w:r>
    </w:p>
    <w:p>
      <w:pPr>
        <w:pStyle w:val="ListParagraph"/>
        <w:numPr>
          <w:ilvl w:val="0"/>
          <w:numId w:val="2"/>
        </w:numPr>
        <w:spacing w:after="80"/>
      </w:pPr>
      <w:r>
        <w:rPr>
          <w:rFonts w:ascii="Calibri" w:cs="Calibri" w:eastAsia="Calibri" w:hAnsi="Calibri"/>
          <w:sz w:val="22"/>
          <w:szCs w:val="22"/>
        </w:rPr>
        <w:t xml:space="preserve">Conditions with no per-country count in hand: ALS, Parkinson’s with speech loss, dementia with speech loss, cerebral palsy and Down syndrome in adults, traumatic brain injury, laryngectomy. WHO gives worldwide totals for some (Parkinson’s over 8.5 million in 2019; dementia 57 million in 2021; stroke 93.8 million cases in 2021); the share who cannot rely on speech has no source yet.</w:t>
      </w:r>
    </w:p>
    <w:p>
      <w:pPr>
        <w:pStyle w:val="ListParagraph"/>
        <w:numPr>
          <w:ilvl w:val="0"/>
          <w:numId w:val="2"/>
        </w:numPr>
        <w:spacing w:after="80"/>
      </w:pPr>
      <w:r>
        <w:rPr>
          <w:rFonts w:ascii="Calibri" w:cs="Calibri" w:eastAsia="Calibri" w:hAnsi="Calibri"/>
          <w:sz w:val="22"/>
          <w:szCs w:val="22"/>
        </w:rPr>
        <w:t xml:space="preserve">Outpatient speech therapy practices, ALS clinics and rehab centers outside the US: the US labor statistics page blocked the request and ASHA’s site answers with a bot challenge.</w:t>
      </w:r>
    </w:p>
    <w:p>
      <w:pPr>
        <w:pStyle w:val="Heading1"/>
        <w:spacing w:after="120" w:before="320"/>
      </w:pPr>
      <w:r>
        <w:rPr>
          <w:rFonts w:ascii="Calibri" w:cs="Calibri" w:eastAsia="Calibri" w:hAnsi="Calibri"/>
        </w:rPr>
        <w:t xml:space="preserve">4. Conversion: the assumptions Frank sets</w:t>
      </w:r>
    </w:p>
    <w:p>
      <w:pPr>
        <w:spacing w:after="120"/>
      </w:pPr>
      <w:r>
        <w:rPr>
          <w:rFonts w:ascii="Calibri" w:cs="Calibri" w:eastAsia="Calibri" w:hAnsi="Calibri"/>
          <w:sz w:val="22"/>
          <w:szCs w:val="22"/>
        </w:rPr>
        <w:t xml:space="preserve">Frank's to set. Buyer share is new one-time buyers each year as a share of the counted consumer market; subscription attach is the share of all buyers to date who hold the Family Tether at year end; school seat share is new seats each year as a share of the counted school market; clinic facility share is the share of facilities that have bought by that year, times seats per facility. Base is roughly twice the pasted hub's ramp in Year 1 as a share of market; Low is half of Base; High is twice Base.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800"/>
        <w:gridCol w:w="4200"/>
        <w:gridCol w:w="3400"/>
      </w:tblGrid>
      <w:tr>
        <w:tc>
          <w:tcPr>
            <w:tcW w:type="dxa" w:w="12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Level</w:t>
            </w:r>
          </w:p>
        </w:tc>
        <w:tc>
          <w:tcPr>
            <w:tcW w:type="dxa" w:w="42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Buyer share by year</w:t>
            </w:r>
          </w:p>
        </w:tc>
        <w:tc>
          <w:tcPr>
            <w:tcW w:type="dxa" w:w="18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Subscription attach</w:t>
            </w:r>
          </w:p>
        </w:tc>
        <w:tc>
          <w:tcPr>
            <w:tcW w:type="dxa" w:w="42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School seat share by year</w:t>
            </w:r>
          </w:p>
        </w:tc>
        <w:tc>
          <w:tcPr>
            <w:tcW w:type="dxa" w:w="34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Facilities buying by year</w:t>
            </w:r>
          </w:p>
        </w:tc>
      </w:tr>
      <w:tr>
        <w:tc>
          <w:tcPr>
            <w:tcW w:type="dxa" w:w="1200"/>
            <w:tcMar>
              <w:top w:type="dxa" w:w="50"/>
              <w:left w:type="dxa" w:w="70"/>
              <w:bottom w:type="dxa" w:w="50"/>
              <w:right w:type="dxa" w:w="70"/>
            </w:tcMar>
          </w:tcPr>
          <w:p>
            <w:pPr>
              <w:jc w:val="left"/>
            </w:pPr>
            <w:r>
              <w:rPr>
                <w:rFonts w:ascii="Calibri" w:cs="Calibri" w:eastAsia="Calibri" w:hAnsi="Calibri"/>
                <w:b w:val="false"/>
                <w:bCs w:val="false"/>
                <w:sz w:val="16"/>
                <w:szCs w:val="16"/>
              </w:rPr>
              <w:t xml:space="preserve">Low</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0.05%, 0.13%, 0.25%, 0.40%, 0.55%</w:t>
            </w:r>
          </w:p>
        </w:tc>
        <w:tc>
          <w:tcPr>
            <w:tcW w:type="dxa" w:w="18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15%</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0.05%, 0.20%, 0.50%, 0.90%, 1.30%</w:t>
            </w:r>
          </w:p>
        </w:tc>
        <w:tc>
          <w:tcPr>
            <w:tcW w:type="dxa" w:w="3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0.5%, 1.5%, 3.0%, 5.0%, 7.0%</w:t>
            </w:r>
          </w:p>
        </w:tc>
      </w:tr>
      <w:tr>
        <w:tc>
          <w:tcPr>
            <w:tcW w:type="dxa" w:w="1200"/>
            <w:tcMar>
              <w:top w:type="dxa" w:w="50"/>
              <w:left w:type="dxa" w:w="70"/>
              <w:bottom w:type="dxa" w:w="50"/>
              <w:right w:type="dxa" w:w="70"/>
            </w:tcMar>
          </w:tcPr>
          <w:p>
            <w:pPr>
              <w:jc w:val="left"/>
            </w:pPr>
            <w:r>
              <w:rPr>
                <w:rFonts w:ascii="Calibri" w:cs="Calibri" w:eastAsia="Calibri" w:hAnsi="Calibri"/>
                <w:b w:val="false"/>
                <w:bCs w:val="false"/>
                <w:sz w:val="16"/>
                <w:szCs w:val="16"/>
              </w:rPr>
              <w:t xml:space="preserve">Base</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0.10%, 0.25%, 0.50%, 0.80%, 1.10%</w:t>
            </w:r>
          </w:p>
        </w:tc>
        <w:tc>
          <w:tcPr>
            <w:tcW w:type="dxa" w:w="18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25%</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0.10%, 0.40%, 1.00%, 1.80%, 2.60%</w:t>
            </w:r>
          </w:p>
        </w:tc>
        <w:tc>
          <w:tcPr>
            <w:tcW w:type="dxa" w:w="3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1.0%, 3.0%, 6.0%, 10.0%, 14.0%</w:t>
            </w:r>
          </w:p>
        </w:tc>
      </w:tr>
      <w:tr>
        <w:tc>
          <w:tcPr>
            <w:tcW w:type="dxa" w:w="1200"/>
            <w:tcMar>
              <w:top w:type="dxa" w:w="50"/>
              <w:left w:type="dxa" w:w="70"/>
              <w:bottom w:type="dxa" w:w="50"/>
              <w:right w:type="dxa" w:w="70"/>
            </w:tcMar>
          </w:tcPr>
          <w:p>
            <w:pPr>
              <w:jc w:val="left"/>
            </w:pPr>
            <w:r>
              <w:rPr>
                <w:rFonts w:ascii="Calibri" w:cs="Calibri" w:eastAsia="Calibri" w:hAnsi="Calibri"/>
                <w:b w:val="false"/>
                <w:bCs w:val="false"/>
                <w:sz w:val="16"/>
                <w:szCs w:val="16"/>
              </w:rPr>
              <w:t xml:space="preserve">High</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0.20%, 0.50%, 1.00%, 1.60%, 2.20%</w:t>
            </w:r>
          </w:p>
        </w:tc>
        <w:tc>
          <w:tcPr>
            <w:tcW w:type="dxa" w:w="18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35%</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0.20%, 0.80%, 2.00%, 3.60%, 5.20%</w:t>
            </w:r>
          </w:p>
        </w:tc>
        <w:tc>
          <w:tcPr>
            <w:tcW w:type="dxa" w:w="3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2.0%, 6.0%, 12.0%, 20.0%, 28.0%</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Prices are the working numbers from Frank’s 7 September document, not confirmed: Core Talker $99.99 one-time, Family Tether $9.99 a month, school and clinical seats $249.99 list and $124.99 at 20 or more seats. Costs are the finance defaults with their provenance (store 15%, RevenueCat 1% past $2,500 a month, Twilio rates, Vercel $20, Codemagic free tier, Apple $99, Google $25, plus the model’s refund, acquisition, voice and usage assumptions). Operating expenses per year: Operating expenses per year are the Ceiling case in Frank's 7 Sep document, the closest in scale.</w:t>
      </w:r>
    </w:p>
    <w:p>
      <w:pPr>
        <w:pStyle w:val="Heading1"/>
        <w:spacing w:after="120" w:before="320"/>
      </w:pPr>
      <w:r>
        <w:rPr>
          <w:rFonts w:ascii="Calibri" w:cs="Calibri" w:eastAsia="Calibri" w:hAnsi="Calibri"/>
        </w:rPr>
        <w:t xml:space="preserve">5. Projections, Base level</w:t>
      </w:r>
    </w:p>
    <w:p>
      <w:pPr>
        <w:spacing w:after="120"/>
      </w:pPr>
      <w:r>
        <w:rPr>
          <w:rFonts w:ascii="Calibri" w:cs="Calibri" w:eastAsia="Calibri" w:hAnsi="Calibri"/>
          <w:sz w:val="22"/>
          <w:szCs w:val="22"/>
        </w:rPr>
        <w:t xml:space="preserve">Sales is what customers pay. Gross is sales minus the direct costs of those sales (the store’s 15%, RevenueCat, refunds, texts, voice, alerts, acquisition). Net is gross minus overhead (Vercel, the Twilio number, Apple, Google, 10DLC, Codemagic, operating expenses). Expenses is both together. In a single model’s table, overhead is shared out by that model’s share of sales.</w:t>
      </w:r>
    </w:p>
    <w:p>
      <w:pPr>
        <w:pStyle w:val="Heading2"/>
        <w:spacing w:after="100" w:before="240"/>
      </w:pPr>
      <w:r>
        <w:rPr>
          <w:rFonts w:ascii="Calibri" w:cs="Calibri" w:eastAsia="Calibri" w:hAnsi="Calibri"/>
        </w:rPr>
        <w:t xml:space="preserve">All three models combined: five-year net $12,109,524</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500"/>
        <w:gridCol w:w="1500"/>
        <w:gridCol w:w="1500"/>
        <w:gridCol w:w="1500"/>
        <w:gridCol w:w="1600"/>
      </w:tblGrid>
      <w:tr>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42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Units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Sales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Expenses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16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Running net</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1</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4,025 buyers, 1,006 subs, 191 seats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$486,632</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($196,602)</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$342,527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$290,031</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$290,031</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2</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10,062 buyers, 3,522 subs, 708 seats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$1,366,001</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($472,211)</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$975,543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$893,790</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$1,183,821</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3</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20,124 buyers, 8,553 subs, 1,673 seats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$2,945,083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($939,180)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$2,118,856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$2,005,903</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$3,189,724</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4</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32,198 buyers, 16,602 subs, 2,964 seats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$5,097,739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($1,548,779)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$3,688,213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$3,548,960</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$6,738,684</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5</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44,272 buyers, 27,670 subs, 4,255 seats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$7,612,253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($2,241,413)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$5,528,822</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$5,370,840</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$12,109,524</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5 years</w:t>
            </w:r>
          </w:p>
        </w:tc>
        <w:tc>
          <w:tcPr>
            <w:tcW w:type="dxa" w:w="4200"/>
            <w:tcMar>
              <w:top w:type="dxa" w:w="50"/>
              <w:left w:type="dxa" w:w="70"/>
              <w:bottom w:type="dxa" w:w="50"/>
              <w:right w:type="dxa" w:w="70"/>
            </w:tcMar>
          </w:tcPr>
          <w:p>
            <w:pPr>
              <w:jc w:val="left"/>
            </w:pPr>
            <w:r>
              <w:rPr>
                <w:rFonts w:ascii="Calibri" w:cs="Calibri" w:eastAsia="Calibri" w:hAnsi="Calibri"/>
                <w:b w:val="false"/>
                <w:bCs w:val="false"/>
                <w:sz w:val="14"/>
                <w:szCs w:val="14"/>
              </w:rPr>
              <w:t xml:space="preserve"/>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$17,507,708</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($5,398,185)</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$12,653,961</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$12,109,524</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$12,109,524</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Consumer model: five-year net $10,922,796, 110,681 buyers, 2.7% of the counted market after five years</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500"/>
        <w:gridCol w:w="1500"/>
        <w:gridCol w:w="1500"/>
        <w:gridCol w:w="1500"/>
        <w:gridCol w:w="1600"/>
      </w:tblGrid>
      <w:tr>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42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Units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Sales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Expenses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16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Running net</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1</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4,025 buyers (0.10% of market), 1,006 subs at year end</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$462,760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($194,027)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$318,655</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$268,733</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$268,733</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2</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10,062 buyers (0.25% of market), 3,522 subs at year end</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$1,277,507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($466,915)</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$887,049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$810,593</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$1,079,326</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3</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20,124 buyers (0.50% of market), 8,553 subs at year end</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$2,735,975</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($931,160)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$1,909,747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$1,804,815</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$2,884,141</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4</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32,198 buyers (0.80% of market), 16,602 subs at year end</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$4,727,269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($1,538,659)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$3,317,742</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$3,188,610</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$6,072,751</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5</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44,272 buyers (1.10% of market), 27,670 subs at year end</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$7,080,421</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($2,230,376)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$4,996,990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$4,850,045</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$10,922,796</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5 years</w:t>
            </w:r>
          </w:p>
        </w:tc>
        <w:tc>
          <w:tcPr>
            <w:tcW w:type="dxa" w:w="4200"/>
            <w:tcMar>
              <w:top w:type="dxa" w:w="50"/>
              <w:left w:type="dxa" w:w="70"/>
              <w:bottom w:type="dxa" w:w="50"/>
              <w:right w:type="dxa" w:w="70"/>
            </w:tcMar>
          </w:tcPr>
          <w:p>
            <w:pPr>
              <w:jc w:val="left"/>
            </w:pPr>
            <w:r>
              <w:rPr>
                <w:rFonts w:ascii="Calibri" w:cs="Calibri" w:eastAsia="Calibri" w:hAnsi="Calibri"/>
                <w:b w:val="false"/>
                <w:bCs w:val="false"/>
                <w:sz w:val="14"/>
                <w:szCs w:val="14"/>
              </w:rPr>
              <w:t xml:space="preserve"/>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$16,283,932</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($5,361,137)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$11,430,183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$10,922,796</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$10,922,796</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School district model (EZvoxa Pro seats): five-year net $935,617</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500"/>
        <w:gridCol w:w="1500"/>
        <w:gridCol w:w="1500"/>
        <w:gridCol w:w="1500"/>
        <w:gridCol w:w="1600"/>
      </w:tblGrid>
      <w:tr>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42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Units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Sales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Expenses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16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Running net</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1</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131 seats (0.10% of market), 3 districts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$16,374</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($1,766)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$16,374</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$14,607</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$14,607</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2</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523 seats (0.40% of market), 13 districts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$65,370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($3,912)</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$65,370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$61,458</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$76,065</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3</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1,308 seats (1.00% of market), 33 districts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$163,487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($6,270)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$163,487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$157,217</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$233,282</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4</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2,354 seats (1.80% of market), 59 districts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$294,226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($8,037)</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$294,226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$286,189</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$519,471</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5</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3,400 seats (2.60% of market), 85 districts</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$424,966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($8,820)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$424,966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$416,146</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$935,617</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5 years</w:t>
            </w:r>
          </w:p>
        </w:tc>
        <w:tc>
          <w:tcPr>
            <w:tcW w:type="dxa" w:w="4200"/>
            <w:tcMar>
              <w:top w:type="dxa" w:w="50"/>
              <w:left w:type="dxa" w:w="70"/>
              <w:bottom w:type="dxa" w:w="50"/>
              <w:right w:type="dxa" w:w="70"/>
            </w:tcMar>
          </w:tcPr>
          <w:p>
            <w:pPr>
              <w:jc w:val="left"/>
            </w:pPr>
            <w:r>
              <w:rPr>
                <w:rFonts w:ascii="Calibri" w:cs="Calibri" w:eastAsia="Calibri" w:hAnsi="Calibri"/>
                <w:b w:val="false"/>
                <w:bCs w:val="false"/>
                <w:sz w:val="14"/>
                <w:szCs w:val="14"/>
              </w:rPr>
              <w:t xml:space="preserve"/>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$964,423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($28,805)</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$964,423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$935,617</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$935,617</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Clinical model (EZvoxa Pro seats): five-year net $251,111</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500"/>
        <w:gridCol w:w="1500"/>
        <w:gridCol w:w="1500"/>
        <w:gridCol w:w="1500"/>
        <w:gridCol w:w="1600"/>
      </w:tblGrid>
      <w:tr>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42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Units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Sales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Expenses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15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16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Running net</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1</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60 seats, 12 facilities (1.0%)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$7,499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($809)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$7,499</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$6,690</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$6,690</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2</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185 seats, 37 facilities (3.0%)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$23,123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($1,384)</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$23,123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$21,739</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$28,429</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3</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365 seats, 73 facilities (6.0%)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$45,621</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($1,750)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$45,621</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$43,872</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$72,301</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4</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610 seats, 122 facilities (10.0%)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$76,244</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($2,083)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$76,244</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$74,161</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$146,462</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Year 5</w:t>
            </w:r>
          </w:p>
        </w:tc>
        <w:tc>
          <w:tcPr>
            <w:tcW w:type="dxa" w:w="42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855 seats, 171 facilities (14.0%)</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$106,866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($2,218)</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$106,866</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$104,649</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$251,111</w:t>
            </w:r>
          </w:p>
        </w:tc>
      </w:tr>
      <w:tr>
        <w:tc>
          <w:tcPr>
            <w:tcW w:type="dxa" w:w="900"/>
            <w:tcMar>
              <w:top w:type="dxa" w:w="50"/>
              <w:left w:type="dxa" w:w="70"/>
              <w:bottom w:type="dxa" w:w="50"/>
              <w:right w:type="dxa" w:w="70"/>
            </w:tcMar>
          </w:tcPr>
          <w:p>
            <w:pPr>
              <w:jc w:val="left"/>
            </w:pPr>
            <w:r>
              <w:rPr>
                <w:rFonts w:ascii="Calibri" w:cs="Calibri" w:eastAsia="Calibri" w:hAnsi="Calibri"/>
                <w:b w:val="false"/>
                <w:bCs w:val="false"/>
                <w:sz w:val="14"/>
                <w:szCs w:val="14"/>
              </w:rPr>
              <w:t xml:space="preserve">5 years</w:t>
            </w:r>
          </w:p>
        </w:tc>
        <w:tc>
          <w:tcPr>
            <w:tcW w:type="dxa" w:w="4200"/>
            <w:tcMar>
              <w:top w:type="dxa" w:w="50"/>
              <w:left w:type="dxa" w:w="70"/>
              <w:bottom w:type="dxa" w:w="50"/>
              <w:right w:type="dxa" w:w="70"/>
            </w:tcMar>
          </w:tcPr>
          <w:p>
            <w:pPr>
              <w:jc w:val="left"/>
            </w:pPr>
            <w:r>
              <w:rPr>
                <w:rFonts w:ascii="Calibri" w:cs="Calibri" w:eastAsia="Calibri" w:hAnsi="Calibri"/>
                <w:b w:val="false"/>
                <w:bCs w:val="false"/>
                <w:sz w:val="14"/>
                <w:szCs w:val="14"/>
              </w:rPr>
              <w:t xml:space="preserve"/>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$259,353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($8,244)</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$259,353</w:t>
            </w:r>
          </w:p>
        </w:tc>
        <w:tc>
          <w:tcPr>
            <w:tcW w:type="dxa" w:w="15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$251,111</w:t>
            </w:r>
          </w:p>
        </w:tc>
        <w:tc>
          <w:tcPr>
            <w:tcW w:type="dxa" w:w="16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$251,111</w:t>
            </w:r>
          </w:p>
        </w:tc>
      </w:tr>
    </w:tbl>
    <w:p>
      <w:pPr>
        <w:spacing w:after="120"/>
      </w:pPr>
      <w:r>
        <w:rPr>
          <w:rFonts w:ascii="Calibri" w:cs="Calibri" w:eastAsia="Calibri" w:hAnsi="Calibri"/>
          <w:sz w:val="22"/>
          <w:szCs w:val="22"/>
        </w:rPr>
        <w:t xml:space="preserve"/>
      </w:r>
    </w:p>
    <w:p>
      <w:pPr>
        <w:pStyle w:val="Heading1"/>
        <w:spacing w:after="120" w:before="320"/>
      </w:pPr>
      <w:r>
        <w:rPr>
          <w:rFonts w:ascii="Calibri" w:cs="Calibri" w:eastAsia="Calibri" w:hAnsi="Calibri"/>
        </w:rPr>
        <w:t xml:space="preserve">6. Low and High levels, five-year totals</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2000"/>
        <w:gridCol w:w="1700"/>
        <w:gridCol w:w="1700"/>
        <w:gridCol w:w="2200"/>
        <w:gridCol w:w="2200"/>
      </w:tblGrid>
      <w:tr>
        <w:tc>
          <w:tcPr>
            <w:tcW w:type="dxa" w:w="12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Level</w:t>
            </w:r>
          </w:p>
        </w:tc>
        <w:tc>
          <w:tcPr>
            <w:tcW w:type="dxa" w:w="19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Buyers over five years</w:t>
            </w:r>
          </w:p>
        </w:tc>
        <w:tc>
          <w:tcPr>
            <w:tcW w:type="dxa" w:w="19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Share of counted market</w:t>
            </w:r>
          </w:p>
        </w:tc>
        <w:tc>
          <w:tcPr>
            <w:tcW w:type="dxa" w:w="20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Subscribers, end of Year 5</w:t>
            </w:r>
          </w:p>
        </w:tc>
        <w:tc>
          <w:tcPr>
            <w:tcW w:type="dxa" w:w="17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School seats sold</w:t>
            </w:r>
          </w:p>
        </w:tc>
        <w:tc>
          <w:tcPr>
            <w:tcW w:type="dxa" w:w="17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Clinic seats sold</w:t>
            </w:r>
          </w:p>
        </w:tc>
        <w:tc>
          <w:tcPr>
            <w:tcW w:type="dxa" w:w="22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Sales</w:t>
            </w:r>
          </w:p>
        </w:tc>
        <w:tc>
          <w:tcPr>
            <w:tcW w:type="dxa" w:w="22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Net</w:t>
            </w:r>
          </w:p>
        </w:tc>
      </w:tr>
      <w:tr>
        <w:tc>
          <w:tcPr>
            <w:tcW w:type="dxa" w:w="1200"/>
            <w:tcMar>
              <w:top w:type="dxa" w:w="50"/>
              <w:left w:type="dxa" w:w="70"/>
              <w:bottom w:type="dxa" w:w="50"/>
              <w:right w:type="dxa" w:w="70"/>
            </w:tcMar>
          </w:tcPr>
          <w:p>
            <w:pPr>
              <w:jc w:val="left"/>
            </w:pPr>
            <w:r>
              <w:rPr>
                <w:rFonts w:ascii="Calibri" w:cs="Calibri" w:eastAsia="Calibri" w:hAnsi="Calibri"/>
                <w:b w:val="false"/>
                <w:bCs w:val="false"/>
                <w:sz w:val="16"/>
                <w:szCs w:val="16"/>
              </w:rPr>
              <w:t xml:space="preserve">Low</w:t>
            </w:r>
          </w:p>
        </w:tc>
        <w:tc>
          <w:tcPr>
            <w:tcW w:type="dxa" w:w="1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55,340</w:t>
            </w:r>
          </w:p>
        </w:tc>
        <w:tc>
          <w:tcPr>
            <w:tcW w:type="dxa" w:w="1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1.4%</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8,301</w:t>
            </w:r>
          </w:p>
        </w:tc>
        <w:tc>
          <w:tcPr>
            <w:tcW w:type="dxa" w:w="17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3,858</w:t>
            </w:r>
          </w:p>
        </w:tc>
        <w:tc>
          <w:tcPr>
            <w:tcW w:type="dxa" w:w="17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1,040</w:t>
            </w:r>
          </w:p>
        </w:tc>
        <w:tc>
          <w:tcPr>
            <w:tcW w:type="dxa" w:w="2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$7,710,741</w:t>
            </w:r>
          </w:p>
        </w:tc>
        <w:tc>
          <w:tcPr>
            <w:tcW w:type="dxa" w:w="2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$5,000,701</w:t>
            </w:r>
          </w:p>
        </w:tc>
      </w:tr>
      <w:tr>
        <w:tc>
          <w:tcPr>
            <w:tcW w:type="dxa" w:w="1200"/>
            <w:tcMar>
              <w:top w:type="dxa" w:w="50"/>
              <w:left w:type="dxa" w:w="70"/>
              <w:bottom w:type="dxa" w:w="50"/>
              <w:right w:type="dxa" w:w="70"/>
            </w:tcMar>
          </w:tcPr>
          <w:p>
            <w:pPr>
              <w:jc w:val="left"/>
            </w:pPr>
            <w:r>
              <w:rPr>
                <w:rFonts w:ascii="Calibri" w:cs="Calibri" w:eastAsia="Calibri" w:hAnsi="Calibri"/>
                <w:b w:val="false"/>
                <w:bCs w:val="false"/>
                <w:sz w:val="16"/>
                <w:szCs w:val="16"/>
              </w:rPr>
              <w:t xml:space="preserve">Base</w:t>
            </w:r>
          </w:p>
        </w:tc>
        <w:tc>
          <w:tcPr>
            <w:tcW w:type="dxa" w:w="1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110,681</w:t>
            </w:r>
          </w:p>
        </w:tc>
        <w:tc>
          <w:tcPr>
            <w:tcW w:type="dxa" w:w="1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2.7%</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27,670</w:t>
            </w:r>
          </w:p>
        </w:tc>
        <w:tc>
          <w:tcPr>
            <w:tcW w:type="dxa" w:w="17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7,716</w:t>
            </w:r>
          </w:p>
        </w:tc>
        <w:tc>
          <w:tcPr>
            <w:tcW w:type="dxa" w:w="17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2,075</w:t>
            </w:r>
          </w:p>
        </w:tc>
        <w:tc>
          <w:tcPr>
            <w:tcW w:type="dxa" w:w="2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$17,507,708</w:t>
            </w:r>
          </w:p>
        </w:tc>
        <w:tc>
          <w:tcPr>
            <w:tcW w:type="dxa" w:w="2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$12,109,524</w:t>
            </w:r>
          </w:p>
        </w:tc>
      </w:tr>
      <w:tr>
        <w:tc>
          <w:tcPr>
            <w:tcW w:type="dxa" w:w="1200"/>
            <w:tcMar>
              <w:top w:type="dxa" w:w="50"/>
              <w:left w:type="dxa" w:w="70"/>
              <w:bottom w:type="dxa" w:w="50"/>
              <w:right w:type="dxa" w:w="70"/>
            </w:tcMar>
          </w:tcPr>
          <w:p>
            <w:pPr>
              <w:jc w:val="left"/>
            </w:pPr>
            <w:r>
              <w:rPr>
                <w:rFonts w:ascii="Calibri" w:cs="Calibri" w:eastAsia="Calibri" w:hAnsi="Calibri"/>
                <w:b w:val="false"/>
                <w:bCs w:val="false"/>
                <w:sz w:val="16"/>
                <w:szCs w:val="16"/>
              </w:rPr>
              <w:t xml:space="preserve">High</w:t>
            </w:r>
          </w:p>
        </w:tc>
        <w:tc>
          <w:tcPr>
            <w:tcW w:type="dxa" w:w="1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221,363</w:t>
            </w:r>
          </w:p>
        </w:tc>
        <w:tc>
          <w:tcPr>
            <w:tcW w:type="dxa" w:w="1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5.5%</w:t>
            </w:r>
          </w:p>
        </w:tc>
        <w:tc>
          <w:tcPr>
            <w:tcW w:type="dxa" w:w="2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77,477</w:t>
            </w:r>
          </w:p>
        </w:tc>
        <w:tc>
          <w:tcPr>
            <w:tcW w:type="dxa" w:w="17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15,429</w:t>
            </w:r>
          </w:p>
        </w:tc>
        <w:tc>
          <w:tcPr>
            <w:tcW w:type="dxa" w:w="17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4,150</w:t>
            </w:r>
          </w:p>
        </w:tc>
        <w:tc>
          <w:tcPr>
            <w:tcW w:type="dxa" w:w="2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$39,188,824</w:t>
            </w:r>
          </w:p>
        </w:tc>
        <w:tc>
          <w:tcPr>
            <w:tcW w:type="dxa" w:w="22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$27,891,795</w:t>
            </w:r>
          </w:p>
        </w:tc>
      </w:tr>
    </w:tbl>
    <w:p>
      <w:pPr>
        <w:spacing w:after="120"/>
      </w:pPr>
      <w:r>
        <w:rPr>
          <w:rFonts w:ascii="Calibri" w:cs="Calibri" w:eastAsia="Calibri" w:hAnsi="Calibri"/>
          <w:sz w:val="22"/>
          <w:szCs w:val="22"/>
        </w:rPr>
        <w:t xml:space="preserve"/>
      </w:r>
    </w:p>
    <w:p>
      <w:pPr>
        <w:pStyle w:val="Heading1"/>
        <w:spacing w:after="120" w:before="320"/>
      </w:pPr>
      <w:r>
        <w:rPr>
          <w:rFonts w:ascii="Calibri" w:cs="Calibri" w:eastAsia="Calibri" w:hAnsi="Calibri"/>
        </w:rPr>
        <w:t xml:space="preserve">7. What is owed</w:t>
      </w:r>
    </w:p>
    <w:p>
      <w:pPr>
        <w:pStyle w:val="ListParagraph"/>
        <w:numPr>
          <w:ilvl w:val="0"/>
          <w:numId w:val="3"/>
        </w:numPr>
        <w:spacing w:after="100"/>
      </w:pPr>
      <w:r>
        <w:rPr>
          <w:rFonts w:ascii="Calibri" w:cs="Calibri" w:eastAsia="Calibri" w:hAnsi="Calibri"/>
          <w:sz w:val="22"/>
          <w:szCs w:val="22"/>
        </w:rPr>
        <w:t xml:space="preserve">Frank’s conversion levels. The three here are placeholders he can change on the widget; the counted market is the fixed part.</w:t>
      </w:r>
    </w:p>
    <w:p>
      <w:pPr>
        <w:pStyle w:val="ListParagraph"/>
        <w:numPr>
          <w:ilvl w:val="0"/>
          <w:numId w:val="3"/>
        </w:numPr>
        <w:spacing w:after="100"/>
      </w:pPr>
      <w:r>
        <w:rPr>
          <w:rFonts w:ascii="Calibri" w:cs="Calibri" w:eastAsia="Calibri" w:hAnsi="Calibri"/>
          <w:sz w:val="22"/>
          <w:szCs w:val="22"/>
        </w:rPr>
        <w:t xml:space="preserve">New Zealand’s age table, so its 85% placeholder becomes its own figure; the other four countries are in from their statistics offices.</w:t>
      </w:r>
    </w:p>
    <w:p>
      <w:pPr>
        <w:pStyle w:val="ListParagraph"/>
        <w:numPr>
          <w:ilvl w:val="0"/>
          <w:numId w:val="3"/>
        </w:numPr>
        <w:spacing w:after="100"/>
      </w:pPr>
      <w:r>
        <w:rPr>
          <w:rFonts w:ascii="Calibri" w:cs="Calibri" w:eastAsia="Calibri" w:hAnsi="Calibri"/>
          <w:sz w:val="22"/>
          <w:szCs w:val="22"/>
        </w:rPr>
        <w:t xml:space="preserve">Counts for the clinical market beyond US inpatient rehab: speech-language pathologists (US labor statistics), ALS clinics, and the other five countries.</w:t>
      </w:r>
    </w:p>
    <w:p>
      <w:pPr>
        <w:pStyle w:val="ListParagraph"/>
        <w:numPr>
          <w:ilvl w:val="0"/>
          <w:numId w:val="3"/>
        </w:numPr>
        <w:spacing w:after="100"/>
      </w:pPr>
      <w:r>
        <w:rPr>
          <w:rFonts w:ascii="Calibri" w:cs="Calibri" w:eastAsia="Calibri" w:hAnsi="Calibri"/>
          <w:sz w:val="22"/>
          <w:szCs w:val="22"/>
        </w:rPr>
        <w:t xml:space="preserve">Special education counts outside the US and England.</w:t>
      </w:r>
    </w:p>
    <w:p>
      <w:pPr>
        <w:pStyle w:val="ListParagraph"/>
        <w:numPr>
          <w:ilvl w:val="0"/>
          <w:numId w:val="3"/>
        </w:numPr>
        <w:spacing w:after="100"/>
      </w:pPr>
      <w:r>
        <w:rPr>
          <w:rFonts w:ascii="Calibri" w:cs="Calibri" w:eastAsia="Calibri" w:hAnsi="Calibri"/>
          <w:sz w:val="22"/>
          <w:szCs w:val="22"/>
        </w:rPr>
        <w:t xml:space="preserve">Sourced “cannot rely on speech” shares for ALS, Parkinson’s, dementia, cerebral palsy, Down syndrome and brain injury, so those conditions can move from upside into the count.</w:t>
      </w:r>
    </w:p>
    <w:p>
      <w:pPr>
        <w:pStyle w:val="ListParagraph"/>
        <w:numPr>
          <w:ilvl w:val="0"/>
          <w:numId w:val="3"/>
        </w:numPr>
        <w:spacing w:after="100"/>
      </w:pPr>
      <w:r>
        <w:rPr>
          <w:rFonts w:ascii="Calibri" w:cs="Calibri" w:eastAsia="Calibri" w:hAnsi="Calibri"/>
          <w:sz w:val="22"/>
          <w:szCs w:val="22"/>
        </w:rPr>
        <w:t xml:space="preserve">Price confirmation. Nothing publishes before it.</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2026-09-09T00:43:50.716Z</dcterms:created>
  <dcterms:modified xsi:type="dcterms:W3CDTF">2026-09-09T00:43:50.717Z</dcterms:modified>
</cp:coreProperties>
</file>

<file path=docProps/custom.xml><?xml version="1.0" encoding="utf-8"?>
<Properties xmlns="http://schemas.openxmlformats.org/officeDocument/2006/custom-properties" xmlns:vt="http://schemas.openxmlformats.org/officeDocument/2006/docPropsVTypes"/>
</file>