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$466,779,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$60,916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$73,283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$173,034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$132,810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$305,844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$160,935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$466,779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$1,478,961,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$184,959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$249,818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$299,870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$549,688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$408,078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$957,766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$521,195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$1,478,961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$4,149,052,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$682,044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$792,485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$1,474,529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$1,133,175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$2,607,704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$1,541,349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$4,149,053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$5,832,604,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$475,850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$624,225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$887,106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$1,511,331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$1,585,655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$3,096,986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$2,735,618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$5,832,605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$466,779, $1,478,961 and $4,149,052.</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Settled 8 September: EZvoxa Pro is its own listing and is sold by EZ Voice direct, not through Apple School Manager, so Frank can negotiate by order size; Apple’s rule is recorded for what it is, not as our channel.</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2026-09-09T02:33:20.844Z</dcterms:created>
  <dcterms:modified xsi:type="dcterms:W3CDTF">2026-09-09T02:33:20.844Z</dcterms:modified>
</cp:coreProperties>
</file>

<file path=docProps/custom.xml><?xml version="1.0" encoding="utf-8"?>
<Properties xmlns="http://schemas.openxmlformats.org/officeDocument/2006/custom-properties" xmlns:vt="http://schemas.openxmlformats.org/officeDocument/2006/docPropsVTypes"/>
</file>