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0"/>
          <w:szCs w:val="40"/>
        </w:rPr>
        <w:t xml:space="preserve">Elementary AAC: What the Children Are Given, What It Rests On, and What It Costs</w:t>
      </w:r>
    </w:p>
    <w:p>
      <w:pPr>
        <w:spacing w:after="120"/>
      </w:pPr>
      <w:r>
        <w:rPr>
          <w:rFonts w:ascii="Calibri" w:cs="Calibri" w:eastAsia="Calibri" w:hAnsi="Calibri"/>
          <w:color w:val="6B6459"/>
          <w:sz w:val="22"/>
          <w:szCs w:val="22"/>
        </w:rPr>
        <w:t xml:space="preserve">Prepared for Frank Schaeffer, EZ Voice LLC, 10 September 2026. A deep dive into the AAC (augmentative and alternative communication) apps and devices handed to elementary school students in the United States, by schools and by speech-language pathologists: when they were built, when they last changed in substance, the research behind their design and how old it is, what the outcome studies show, and who pays for them.</w:t>
      </w:r>
    </w:p>
    <w:p>
      <w:pPr>
        <w:spacing w:after="120"/>
      </w:pPr>
      <w:r>
        <w:rPr>
          <w:rFonts w:ascii="Calibri" w:cs="Calibri" w:eastAsia="Calibri" w:hAnsi="Calibri"/>
          <w:color w:val="6B6459"/>
          <w:sz w:val="22"/>
          <w:szCs w:val="22"/>
        </w:rPr>
        <w:t xml:space="preserve">How to read it. Every figure and every quotation was read on 10 September 2026 from the entity that owns it: the maker's own site, Apple's App Store, a government site, or the peer-reviewed paper itself through the National Library of Medicine. Where only an abstract could be read, it says so. Where a page was blocked or a fact could not be found, it says so and nothing is filled in from memory. Nothing here comes from a forum, a blog, a reseller or a news article. The four working files behind this document, with a URL on every line, are in the repository under research/aac-elementary-2026-09-10.</w:t>
      </w:r>
    </w:p>
    <w:p>
      <w:pPr>
        <w:pStyle w:val="Heading1"/>
        <w:spacing w:after="120" w:before="320"/>
      </w:pPr>
      <w:r>
        <w:rPr>
          <w:rFonts w:ascii="Calibri" w:cs="Calibri" w:eastAsia="Calibri" w:hAnsi="Calibri"/>
        </w:rPr>
        <w:t xml:space="preserve">1. The short version</w:t>
      </w:r>
    </w:p>
    <w:p>
      <w:pPr>
        <w:pStyle w:val="ListParagraph"/>
        <w:numPr>
          <w:ilvl w:val="0"/>
          <w:numId w:val="2"/>
        </w:numPr>
        <w:spacing w:after="80"/>
      </w:pPr>
      <w:r>
        <w:rPr>
          <w:rFonts w:ascii="Calibri" w:cs="Calibri" w:eastAsia="Calibri" w:hAnsi="Calibri"/>
          <w:sz w:val="22"/>
          <w:szCs w:val="22"/>
        </w:rPr>
        <w:t xml:space="preserve">The apps most elementary students are handed were released between 2009 and 2012: Proloquo2Go in April 2009, TouchChat in December 2010, GoTalk NOW in October 2011, Speak for Yourself in December 2011, LAMP Words for Life in August 2012, Avaz in September 2012. The newer entrants are TD Snap (2017), Grid for iPad (2018) and Proloquo (2022).</w:t>
      </w:r>
    </w:p>
    <w:p>
      <w:pPr>
        <w:pStyle w:val="ListParagraph"/>
        <w:numPr>
          <w:ilvl w:val="0"/>
          <w:numId w:val="2"/>
        </w:numPr>
        <w:spacing w:after="80"/>
      </w:pPr>
      <w:r>
        <w:rPr>
          <w:rFonts w:ascii="Calibri" w:cs="Calibri" w:eastAsia="Calibri" w:hAnsi="Calibri"/>
          <w:sz w:val="22"/>
          <w:szCs w:val="22"/>
        </w:rPr>
        <w:t xml:space="preserve">Every major app has shipped an update in 2026, so nothing is abandoned. But what changed is voices, AI helpers, bug fixes and regional word lists. Proloquo2Go has no vocabulary or layout change in its visible history. CoughDrop has none in 25 versions. The exception is GoTalk NOW, rebuilt in May 2026, and Avaz, which enlarged its grids in September 2024.</w:t>
      </w:r>
    </w:p>
    <w:p>
      <w:pPr>
        <w:pStyle w:val="ListParagraph"/>
        <w:numPr>
          <w:ilvl w:val="0"/>
          <w:numId w:val="2"/>
        </w:numPr>
        <w:spacing w:after="80"/>
      </w:pPr>
      <w:r>
        <w:rPr>
          <w:rFonts w:ascii="Calibri" w:cs="Calibri" w:eastAsia="Calibri" w:hAnsi="Calibri"/>
          <w:sz w:val="22"/>
          <w:szCs w:val="22"/>
        </w:rPr>
        <w:t xml:space="preserve">The design ideas underneath them are twenty to forty years old: Minspeak 1982, Unity 1995, the PCS symbol set in use by 1989, PECS 1993, core vocabulary from a 1984 study of five adults. The makers' product pages for Unity, LAMP, WordPower, Core First and Crescendo describe their principles and cite no studies.</w:t>
      </w:r>
    </w:p>
    <w:p>
      <w:pPr>
        <w:pStyle w:val="ListParagraph"/>
        <w:numPr>
          <w:ilvl w:val="0"/>
          <w:numId w:val="2"/>
        </w:numPr>
        <w:spacing w:after="80"/>
      </w:pPr>
      <w:r>
        <w:rPr>
          <w:rFonts w:ascii="Calibri" w:cs="Calibri" w:eastAsia="Calibri" w:hAnsi="Calibri"/>
          <w:sz w:val="22"/>
          <w:szCs w:val="22"/>
        </w:rPr>
        <w:t xml:space="preserve">The only peer-reviewed tests of Minspeak-style encoding with children (2004 and 2010) used typically developing four- and five-year-olds and found it hard for them. LAMP and PODD have no efficacy study indexed in the National Library of Medicine at all.</w:t>
      </w:r>
    </w:p>
    <w:p>
      <w:pPr>
        <w:pStyle w:val="ListParagraph"/>
        <w:numPr>
          <w:ilvl w:val="0"/>
          <w:numId w:val="2"/>
        </w:numPr>
        <w:spacing w:after="80"/>
      </w:pPr>
      <w:r>
        <w:rPr>
          <w:rFonts w:ascii="Calibri" w:cs="Calibri" w:eastAsia="Calibri" w:hAnsi="Calibri"/>
          <w:sz w:val="22"/>
          <w:szCs w:val="22"/>
        </w:rPr>
        <w:t xml:space="preserve">The argument that grids of small cells are wrong for young children comes from two Penn State studies in 2003 and 2004, thirty typically developing toddlers each, ten per condition. Everything since is single-case work with three to nine children. Three other labs found grids and scenes about equal once a child had some experience.</w:t>
      </w:r>
    </w:p>
    <w:p>
      <w:pPr>
        <w:pStyle w:val="ListParagraph"/>
        <w:numPr>
          <w:ilvl w:val="0"/>
          <w:numId w:val="2"/>
        </w:numPr>
        <w:spacing w:after="80"/>
      </w:pPr>
      <w:r>
        <w:rPr>
          <w:rFonts w:ascii="Calibri" w:cs="Calibri" w:eastAsia="Calibri" w:hAnsi="Calibri"/>
          <w:sz w:val="22"/>
          <w:szCs w:val="22"/>
        </w:rPr>
        <w:t xml:space="preserve">No reachable study has ever set a number of symbols per screen, a symbol size, or a navigation depth for children. The child studies that exist used arrays of 12 to 16 cells and typically developing preschoolers.</w:t>
      </w:r>
    </w:p>
    <w:p>
      <w:pPr>
        <w:pStyle w:val="ListParagraph"/>
        <w:numPr>
          <w:ilvl w:val="0"/>
          <w:numId w:val="2"/>
        </w:numPr>
        <w:spacing w:after="80"/>
      </w:pPr>
      <w:r>
        <w:rPr>
          <w:rFonts w:ascii="Calibri" w:cs="Calibri" w:eastAsia="Calibri" w:hAnsi="Calibri"/>
          <w:sz w:val="22"/>
          <w:szCs w:val="22"/>
        </w:rPr>
        <w:t xml:space="preserve">Outcomes: aided AAC reliably increases requesting and simple communication in single-case studies and does not suppress speech. The one strong device trial in school-age minimally verbal children (Kasari 2014, 61 children) showed a moderate effect at six months that faded by nine, with a quarter of families gone by follow-up. High-tech has not beaten low-tech in any head-to-head trial. The Cochrane review rated the whole randomized evidence base for minimally verbal children as very low quality.</w:t>
      </w:r>
    </w:p>
    <w:p>
      <w:pPr>
        <w:pStyle w:val="ListParagraph"/>
        <w:numPr>
          <w:ilvl w:val="0"/>
          <w:numId w:val="2"/>
        </w:numPr>
        <w:spacing w:after="80"/>
      </w:pPr>
      <w:r>
        <w:rPr>
          <w:rFonts w:ascii="Calibri" w:cs="Calibri" w:eastAsia="Calibri" w:hAnsi="Calibri"/>
          <w:sz w:val="22"/>
          <w:szCs w:val="22"/>
        </w:rPr>
        <w:t xml:space="preserve">Nobody has measured how many school-issued devices are still in use one, three or five years later. The abandonment figure everyone repeats, about a third, is a 1993 survey of 227 adults across all assistive technology. The closest child figures: 75 percent of a UK cerebral palsy cohort did not use their AAC at home; elementary students lacked their device in nearly half of communication opportunities; a national teacher survey rated over half of AAC users as not proficient.</w:t>
      </w:r>
    </w:p>
    <w:p>
      <w:pPr>
        <w:pStyle w:val="ListParagraph"/>
        <w:numPr>
          <w:ilvl w:val="0"/>
          <w:numId w:val="2"/>
        </w:numPr>
        <w:spacing w:after="80"/>
      </w:pPr>
      <w:r>
        <w:rPr>
          <w:rFonts w:ascii="Calibri" w:cs="Calibri" w:eastAsia="Calibri" w:hAnsi="Calibri"/>
          <w:sz w:val="22"/>
          <w:szCs w:val="22"/>
        </w:rPr>
        <w:t xml:space="preserve">Money: Medicare's Florida allowable for a dedicated device is $9,645.69 and Florida Medicaid's maximum is $6,240.51, one per five years, after an SLP evaluation, a prescription and prior authorization. The app that does the same job costs $149.99 to $299.99. Florida Medicaid excludes tablets and phones outright, so an app on a district iPad is outside that pipeline entirely; the district buys it under IDEA, and the school SLP is the influencer.</w:t>
      </w:r>
    </w:p>
    <w:p>
      <w:pPr>
        <w:pStyle w:val="ListParagraph"/>
        <w:numPr>
          <w:ilvl w:val="0"/>
          <w:numId w:val="2"/>
        </w:numPr>
        <w:spacing w:after="80"/>
      </w:pPr>
      <w:r>
        <w:rPr>
          <w:rFonts w:ascii="Calibri" w:cs="Calibri" w:eastAsia="Calibri" w:hAnsi="Calibri"/>
          <w:sz w:val="22"/>
          <w:szCs w:val="22"/>
        </w:rPr>
        <w:t xml:space="preserve">What this means for the younger-kids question is in section 7. The evidence does not say the current products fail children. It says almost nobody has checked, with the children who actually use them, at the ages they use them, for longer than a few months.</w:t>
      </w:r>
    </w:p>
    <w:p>
      <w:pPr>
        <w:pStyle w:val="Heading1"/>
        <w:spacing w:after="120" w:before="320"/>
      </w:pPr>
      <w:r>
        <w:rPr>
          <w:rFonts w:ascii="Calibri" w:cs="Calibri" w:eastAsia="Calibri" w:hAnsi="Calibri"/>
        </w:rPr>
        <w:t xml:space="preserve">2. The products: when built, when last changed, what they cost</w:t>
      </w:r>
    </w:p>
    <w:p>
      <w:pPr>
        <w:spacing w:after="120"/>
      </w:pPr>
      <w:r>
        <w:rPr>
          <w:rFonts w:ascii="Calibri" w:cs="Calibri" w:eastAsia="Calibri" w:hAnsi="Calibri"/>
          <w:sz w:val="22"/>
          <w:szCs w:val="22"/>
        </w:rPr>
        <w:t xml:space="preserve">Sources: the maker's own pages and Apple's App Store listings, which carry a version history with dates and release notes for the last 25 versions. First-release dates come from Apple's own lookup service. The last substantial update is a judgment, defined as a new vocabulary, layout, access method or redesign rather than voices, bug fixes or settings, and the release note is quoted in the working file.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250"/>
        <w:gridCol w:w="1300"/>
        <w:gridCol w:w="2600"/>
        <w:gridCol w:w="2050"/>
      </w:tblGrid>
      <w:tr>
        <w:tc>
          <w:tcPr>
            <w:tcW w:type="dxa" w:w="1500"/>
            <w:shd w:fill="E8E3DA" w:color="auto" w:val="clear"/>
            <w:tcMar>
              <w:top w:type="dxa" w:w="50"/>
              <w:left w:type="dxa" w:w="70"/>
              <w:bottom w:type="dxa" w:w="50"/>
              <w:right w:type="dxa" w:w="70"/>
            </w:tcMar>
          </w:tcPr>
          <w:p>
            <w:r>
              <w:rPr>
                <w:rFonts w:ascii="Calibri" w:cs="Calibri" w:eastAsia="Calibri" w:hAnsi="Calibri"/>
                <w:b/>
                <w:bCs/>
                <w:sz w:val="15"/>
                <w:szCs w:val="15"/>
              </w:rPr>
              <w:t xml:space="preserve">Product</w:t>
            </w:r>
          </w:p>
        </w:tc>
        <w:tc>
          <w:tcPr>
            <w:tcW w:type="dxa" w:w="1300"/>
            <w:shd w:fill="E8E3DA" w:color="auto" w:val="clear"/>
            <w:tcMar>
              <w:top w:type="dxa" w:w="50"/>
              <w:left w:type="dxa" w:w="70"/>
              <w:bottom w:type="dxa" w:w="50"/>
              <w:right w:type="dxa" w:w="70"/>
            </w:tcMar>
          </w:tcPr>
          <w:p>
            <w:r>
              <w:rPr>
                <w:rFonts w:ascii="Calibri" w:cs="Calibri" w:eastAsia="Calibri" w:hAnsi="Calibri"/>
                <w:b/>
                <w:bCs/>
                <w:sz w:val="15"/>
                <w:szCs w:val="15"/>
              </w:rPr>
              <w:t xml:space="preserve">Maker</w:t>
            </w:r>
          </w:p>
        </w:tc>
        <w:tc>
          <w:tcPr>
            <w:tcW w:type="dxa" w:w="1250"/>
            <w:shd w:fill="E8E3DA" w:color="auto" w:val="clear"/>
            <w:tcMar>
              <w:top w:type="dxa" w:w="50"/>
              <w:left w:type="dxa" w:w="70"/>
              <w:bottom w:type="dxa" w:w="50"/>
              <w:right w:type="dxa" w:w="70"/>
            </w:tcMar>
          </w:tcPr>
          <w:p>
            <w:r>
              <w:rPr>
                <w:rFonts w:ascii="Calibri" w:cs="Calibri" w:eastAsia="Calibri" w:hAnsi="Calibri"/>
                <w:b/>
                <w:bCs/>
                <w:sz w:val="15"/>
                <w:szCs w:val="15"/>
              </w:rPr>
              <w:t xml:space="preserve">First release</w:t>
            </w:r>
          </w:p>
        </w:tc>
        <w:tc>
          <w:tcPr>
            <w:tcW w:type="dxa" w:w="1300"/>
            <w:shd w:fill="E8E3DA" w:color="auto" w:val="clear"/>
            <w:tcMar>
              <w:top w:type="dxa" w:w="50"/>
              <w:left w:type="dxa" w:w="70"/>
              <w:bottom w:type="dxa" w:w="50"/>
              <w:right w:type="dxa" w:w="70"/>
            </w:tcMar>
          </w:tcPr>
          <w:p>
            <w:r>
              <w:rPr>
                <w:rFonts w:ascii="Calibri" w:cs="Calibri" w:eastAsia="Calibri" w:hAnsi="Calibri"/>
                <w:b/>
                <w:bCs/>
                <w:sz w:val="15"/>
                <w:szCs w:val="15"/>
              </w:rPr>
              <w:t xml:space="preserve">Latest version</w:t>
            </w:r>
          </w:p>
        </w:tc>
        <w:tc>
          <w:tcPr>
            <w:tcW w:type="dxa" w:w="2600"/>
            <w:shd w:fill="E8E3DA" w:color="auto" w:val="clear"/>
            <w:tcMar>
              <w:top w:type="dxa" w:w="50"/>
              <w:left w:type="dxa" w:w="70"/>
              <w:bottom w:type="dxa" w:w="50"/>
              <w:right w:type="dxa" w:w="70"/>
            </w:tcMar>
          </w:tcPr>
          <w:p>
            <w:r>
              <w:rPr>
                <w:rFonts w:ascii="Calibri" w:cs="Calibri" w:eastAsia="Calibri" w:hAnsi="Calibri"/>
                <w:b/>
                <w:bCs/>
                <w:sz w:val="15"/>
                <w:szCs w:val="15"/>
              </w:rPr>
              <w:t xml:space="preserve">Last substantial change</w:t>
            </w:r>
          </w:p>
        </w:tc>
        <w:tc>
          <w:tcPr>
            <w:tcW w:type="dxa" w:w="2050"/>
            <w:shd w:fill="E8E3DA" w:color="auto" w:val="clear"/>
            <w:tcMar>
              <w:top w:type="dxa" w:w="50"/>
              <w:left w:type="dxa" w:w="70"/>
              <w:bottom w:type="dxa" w:w="50"/>
              <w:right w:type="dxa" w:w="70"/>
            </w:tcMar>
          </w:tcPr>
          <w:p>
            <w:r>
              <w:rPr>
                <w:rFonts w:ascii="Calibri" w:cs="Calibri" w:eastAsia="Calibri" w:hAnsi="Calibri"/>
                <w:b/>
                <w:bCs/>
                <w:sz w:val="15"/>
                <w:szCs w:val="15"/>
              </w:rPr>
              <w:t xml:space="preserve">US price</w:t>
            </w:r>
          </w:p>
        </w:tc>
      </w:tr>
      <w:tr>
        <w:tc>
          <w:tcPr>
            <w:tcW w:type="dxa" w:w="1500"/>
            <w:tcMar>
              <w:top w:type="dxa" w:w="50"/>
              <w:left w:type="dxa" w:w="70"/>
              <w:bottom w:type="dxa" w:w="50"/>
              <w:right w:type="dxa" w:w="70"/>
            </w:tcMar>
          </w:tcPr>
          <w:p>
            <w:r>
              <w:rPr>
                <w:rFonts w:ascii="Calibri" w:cs="Calibri" w:eastAsia="Calibri" w:hAnsi="Calibri"/>
                <w:b w:val="false"/>
                <w:bCs w:val="false"/>
                <w:sz w:val="15"/>
                <w:szCs w:val="15"/>
              </w:rPr>
              <w:t xml:space="preserve">Proloquo2Go</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AssistiveWare (Amsterdam)</w:t>
            </w:r>
          </w:p>
        </w:tc>
        <w:tc>
          <w:tcPr>
            <w:tcW w:type="dxa" w:w="1250"/>
            <w:tcMar>
              <w:top w:type="dxa" w:w="50"/>
              <w:left w:type="dxa" w:w="70"/>
              <w:bottom w:type="dxa" w:w="50"/>
              <w:right w:type="dxa" w:w="70"/>
            </w:tcMar>
          </w:tcPr>
          <w:p>
            <w:r>
              <w:rPr>
                <w:rFonts w:ascii="Calibri" w:cs="Calibri" w:eastAsia="Calibri" w:hAnsi="Calibri"/>
                <w:b w:val="false"/>
                <w:bCs w:val="false"/>
                <w:sz w:val="15"/>
                <w:szCs w:val="15"/>
              </w:rPr>
              <w:t xml:space="preserve">21 Apr 2009</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8.9.1, 22 Jul 2026</w:t>
            </w:r>
          </w:p>
        </w:tc>
        <w:tc>
          <w:tcPr>
            <w:tcW w:type="dxa" w:w="2600"/>
            <w:tcMar>
              <w:top w:type="dxa" w:w="50"/>
              <w:left w:type="dxa" w:w="70"/>
              <w:bottom w:type="dxa" w:w="50"/>
              <w:right w:type="dxa" w:w="70"/>
            </w:tcMar>
          </w:tcPr>
          <w:p>
            <w:r>
              <w:rPr>
                <w:rFonts w:ascii="Calibri" w:cs="Calibri" w:eastAsia="Calibri" w:hAnsi="Calibri"/>
                <w:b w:val="false"/>
                <w:bCs w:val="false"/>
                <w:sz w:val="15"/>
                <w:szCs w:val="15"/>
              </w:rPr>
              <w:t xml:space="preserve">None visible since Jan 2023: voices, symbols and settings only</w:t>
            </w:r>
          </w:p>
        </w:tc>
        <w:tc>
          <w:tcPr>
            <w:tcW w:type="dxa" w:w="2050"/>
            <w:tcMar>
              <w:top w:type="dxa" w:w="50"/>
              <w:left w:type="dxa" w:w="70"/>
              <w:bottom w:type="dxa" w:w="50"/>
              <w:right w:type="dxa" w:w="70"/>
            </w:tcMar>
          </w:tcPr>
          <w:p>
            <w:r>
              <w:rPr>
                <w:rFonts w:ascii="Calibri" w:cs="Calibri" w:eastAsia="Calibri" w:hAnsi="Calibri"/>
                <w:b w:val="false"/>
                <w:bCs w:val="false"/>
                <w:sz w:val="15"/>
                <w:szCs w:val="15"/>
              </w:rPr>
              <w:t xml:space="preserve">$249.99 App Store; $299.99 on maker's page</w:t>
            </w:r>
          </w:p>
        </w:tc>
      </w:tr>
      <w:tr>
        <w:tc>
          <w:tcPr>
            <w:tcW w:type="dxa" w:w="1500"/>
            <w:tcMar>
              <w:top w:type="dxa" w:w="50"/>
              <w:left w:type="dxa" w:w="70"/>
              <w:bottom w:type="dxa" w:w="50"/>
              <w:right w:type="dxa" w:w="70"/>
            </w:tcMar>
          </w:tcPr>
          <w:p>
            <w:r>
              <w:rPr>
                <w:rFonts w:ascii="Calibri" w:cs="Calibri" w:eastAsia="Calibri" w:hAnsi="Calibri"/>
                <w:b w:val="false"/>
                <w:bCs w:val="false"/>
                <w:sz w:val="15"/>
                <w:szCs w:val="15"/>
              </w:rPr>
              <w:t xml:space="preserve">TouchChat HD with WordPower</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PRC-Saltillo</w:t>
            </w:r>
          </w:p>
        </w:tc>
        <w:tc>
          <w:tcPr>
            <w:tcW w:type="dxa" w:w="1250"/>
            <w:tcMar>
              <w:top w:type="dxa" w:w="50"/>
              <w:left w:type="dxa" w:w="70"/>
              <w:bottom w:type="dxa" w:w="50"/>
              <w:right w:type="dxa" w:w="70"/>
            </w:tcMar>
          </w:tcPr>
          <w:p>
            <w:r>
              <w:rPr>
                <w:rFonts w:ascii="Calibri" w:cs="Calibri" w:eastAsia="Calibri" w:hAnsi="Calibri"/>
                <w:b w:val="false"/>
                <w:bCs w:val="false"/>
                <w:sz w:val="15"/>
                <w:szCs w:val="15"/>
              </w:rPr>
              <w:t xml:space="preserve">6 Jan 2011 (TouchChat 23 Dec 2010)</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2026.2.0, 27 May 2026</w:t>
            </w:r>
          </w:p>
        </w:tc>
        <w:tc>
          <w:tcPr>
            <w:tcW w:type="dxa" w:w="2600"/>
            <w:tcMar>
              <w:top w:type="dxa" w:w="50"/>
              <w:left w:type="dxa" w:w="70"/>
              <w:bottom w:type="dxa" w:w="50"/>
              <w:right w:type="dxa" w:w="70"/>
            </w:tcMar>
          </w:tcPr>
          <w:p>
            <w:r>
              <w:rPr>
                <w:rFonts w:ascii="Calibri" w:cs="Calibri" w:eastAsia="Calibri" w:hAnsi="Calibri"/>
                <w:b w:val="false"/>
                <w:bCs w:val="false"/>
                <w:sz w:val="15"/>
                <w:szCs w:val="15"/>
              </w:rPr>
              <w:t xml:space="preserve">Feb 2026: regional English files, code switching, AI edit and translate</w:t>
            </w:r>
          </w:p>
        </w:tc>
        <w:tc>
          <w:tcPr>
            <w:tcW w:type="dxa" w:w="2050"/>
            <w:tcMar>
              <w:top w:type="dxa" w:w="50"/>
              <w:left w:type="dxa" w:w="70"/>
              <w:bottom w:type="dxa" w:w="50"/>
              <w:right w:type="dxa" w:w="70"/>
            </w:tcMar>
          </w:tcPr>
          <w:p>
            <w:r>
              <w:rPr>
                <w:rFonts w:ascii="Calibri" w:cs="Calibri" w:eastAsia="Calibri" w:hAnsi="Calibri"/>
                <w:b w:val="false"/>
                <w:bCs w:val="false"/>
                <w:sz w:val="15"/>
                <w:szCs w:val="15"/>
              </w:rPr>
              <w:t xml:space="preserve">$299.99 ($149.99 without WordPower)</w:t>
            </w:r>
          </w:p>
        </w:tc>
      </w:tr>
      <w:tr>
        <w:tc>
          <w:tcPr>
            <w:tcW w:type="dxa" w:w="1500"/>
            <w:tcMar>
              <w:top w:type="dxa" w:w="50"/>
              <w:left w:type="dxa" w:w="70"/>
              <w:bottom w:type="dxa" w:w="50"/>
              <w:right w:type="dxa" w:w="70"/>
            </w:tcMar>
          </w:tcPr>
          <w:p>
            <w:r>
              <w:rPr>
                <w:rFonts w:ascii="Calibri" w:cs="Calibri" w:eastAsia="Calibri" w:hAnsi="Calibri"/>
                <w:b w:val="false"/>
                <w:bCs w:val="false"/>
                <w:sz w:val="15"/>
                <w:szCs w:val="15"/>
              </w:rPr>
              <w:t xml:space="preserve">LAMP Words for Life</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PRC-Saltillo</w:t>
            </w:r>
          </w:p>
        </w:tc>
        <w:tc>
          <w:tcPr>
            <w:tcW w:type="dxa" w:w="1250"/>
            <w:tcMar>
              <w:top w:type="dxa" w:w="50"/>
              <w:left w:type="dxa" w:w="70"/>
              <w:bottom w:type="dxa" w:w="50"/>
              <w:right w:type="dxa" w:w="70"/>
            </w:tcMar>
          </w:tcPr>
          <w:p>
            <w:r>
              <w:rPr>
                <w:rFonts w:ascii="Calibri" w:cs="Calibri" w:eastAsia="Calibri" w:hAnsi="Calibri"/>
                <w:b w:val="false"/>
                <w:bCs w:val="false"/>
                <w:sz w:val="15"/>
                <w:szCs w:val="15"/>
              </w:rPr>
              <w:t xml:space="preserve">28 Aug 2012</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2026.2.2, 16 Jun 2026</w:t>
            </w:r>
          </w:p>
        </w:tc>
        <w:tc>
          <w:tcPr>
            <w:tcW w:type="dxa" w:w="2600"/>
            <w:tcMar>
              <w:top w:type="dxa" w:w="50"/>
              <w:left w:type="dxa" w:w="70"/>
              <w:bottom w:type="dxa" w:w="50"/>
              <w:right w:type="dxa" w:w="70"/>
            </w:tcMar>
          </w:tcPr>
          <w:p>
            <w:r>
              <w:rPr>
                <w:rFonts w:ascii="Calibri" w:cs="Calibri" w:eastAsia="Calibri" w:hAnsi="Calibri"/>
                <w:b w:val="false"/>
                <w:bCs w:val="false"/>
                <w:sz w:val="15"/>
                <w:szCs w:val="15"/>
              </w:rPr>
              <w:t xml:space="preserve">Sep 2025: new Vocab Builder and file format; May 2026: Button Boost</w:t>
            </w:r>
          </w:p>
        </w:tc>
        <w:tc>
          <w:tcPr>
            <w:tcW w:type="dxa" w:w="2050"/>
            <w:tcMar>
              <w:top w:type="dxa" w:w="50"/>
              <w:left w:type="dxa" w:w="70"/>
              <w:bottom w:type="dxa" w:w="50"/>
              <w:right w:type="dxa" w:w="70"/>
            </w:tcMar>
          </w:tcPr>
          <w:p>
            <w:r>
              <w:rPr>
                <w:rFonts w:ascii="Calibri" w:cs="Calibri" w:eastAsia="Calibri" w:hAnsi="Calibri"/>
                <w:b w:val="false"/>
                <w:bCs w:val="false"/>
                <w:sz w:val="15"/>
                <w:szCs w:val="15"/>
              </w:rPr>
              <w:t xml:space="preserve">$299.99; 50% off at 20+ via Apple School Manager</w:t>
            </w:r>
          </w:p>
        </w:tc>
      </w:tr>
      <w:tr>
        <w:tc>
          <w:tcPr>
            <w:tcW w:type="dxa" w:w="1500"/>
            <w:tcMar>
              <w:top w:type="dxa" w:w="50"/>
              <w:left w:type="dxa" w:w="70"/>
              <w:bottom w:type="dxa" w:w="50"/>
              <w:right w:type="dxa" w:w="70"/>
            </w:tcMar>
          </w:tcPr>
          <w:p>
            <w:r>
              <w:rPr>
                <w:rFonts w:ascii="Calibri" w:cs="Calibri" w:eastAsia="Calibri" w:hAnsi="Calibri"/>
                <w:b w:val="false"/>
                <w:bCs w:val="false"/>
                <w:sz w:val="15"/>
                <w:szCs w:val="15"/>
              </w:rPr>
              <w:t xml:space="preserve">TD Snap (was Snap Core First)</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Tobii Dynavox</w:t>
            </w:r>
          </w:p>
        </w:tc>
        <w:tc>
          <w:tcPr>
            <w:tcW w:type="dxa" w:w="1250"/>
            <w:tcMar>
              <w:top w:type="dxa" w:w="50"/>
              <w:left w:type="dxa" w:w="70"/>
              <w:bottom w:type="dxa" w:w="50"/>
              <w:right w:type="dxa" w:w="70"/>
            </w:tcMar>
          </w:tcPr>
          <w:p>
            <w:r>
              <w:rPr>
                <w:rFonts w:ascii="Calibri" w:cs="Calibri" w:eastAsia="Calibri" w:hAnsi="Calibri"/>
                <w:b w:val="false"/>
                <w:bCs w:val="false"/>
                <w:sz w:val="15"/>
                <w:szCs w:val="15"/>
              </w:rPr>
              <w:t xml:space="preserve">4 Jun 2017</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1.40.2, 17 Aug 2026</w:t>
            </w:r>
          </w:p>
        </w:tc>
        <w:tc>
          <w:tcPr>
            <w:tcW w:type="dxa" w:w="2600"/>
            <w:tcMar>
              <w:top w:type="dxa" w:w="50"/>
              <w:left w:type="dxa" w:w="70"/>
              <w:bottom w:type="dxa" w:w="50"/>
              <w:right w:type="dxa" w:w="70"/>
            </w:tcMar>
          </w:tcPr>
          <w:p>
            <w:r>
              <w:rPr>
                <w:rFonts w:ascii="Calibri" w:cs="Calibri" w:eastAsia="Calibri" w:hAnsi="Calibri"/>
                <w:b w:val="false"/>
                <w:bCs w:val="false"/>
                <w:sz w:val="15"/>
                <w:szCs w:val="15"/>
              </w:rPr>
              <w:t xml:space="preserve">Oct 2025: high-contrast Core First, new page sets; Oct 2023: new access method</w:t>
            </w:r>
          </w:p>
        </w:tc>
        <w:tc>
          <w:tcPr>
            <w:tcW w:type="dxa" w:w="2050"/>
            <w:tcMar>
              <w:top w:type="dxa" w:w="50"/>
              <w:left w:type="dxa" w:w="70"/>
              <w:bottom w:type="dxa" w:w="50"/>
              <w:right w:type="dxa" w:w="70"/>
            </w:tcMar>
          </w:tcPr>
          <w:p>
            <w:r>
              <w:rPr>
                <w:rFonts w:ascii="Calibri" w:cs="Calibri" w:eastAsia="Calibri" w:hAnsi="Calibri"/>
                <w:b w:val="false"/>
                <w:bCs w:val="false"/>
                <w:sz w:val="15"/>
                <w:szCs w:val="15"/>
              </w:rPr>
              <w:t xml:space="preserve">Free; speaking upgrade $9.99 a month; free classroom license</w:t>
            </w:r>
          </w:p>
        </w:tc>
      </w:tr>
      <w:tr>
        <w:tc>
          <w:tcPr>
            <w:tcW w:type="dxa" w:w="1500"/>
            <w:tcMar>
              <w:top w:type="dxa" w:w="50"/>
              <w:left w:type="dxa" w:w="70"/>
              <w:bottom w:type="dxa" w:w="50"/>
              <w:right w:type="dxa" w:w="70"/>
            </w:tcMar>
          </w:tcPr>
          <w:p>
            <w:r>
              <w:rPr>
                <w:rFonts w:ascii="Calibri" w:cs="Calibri" w:eastAsia="Calibri" w:hAnsi="Calibri"/>
                <w:b w:val="false"/>
                <w:bCs w:val="false"/>
                <w:sz w:val="15"/>
                <w:szCs w:val="15"/>
              </w:rPr>
              <w:t xml:space="preserve">Proloquo (subscription)</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AssistiveWare</w:t>
            </w:r>
          </w:p>
        </w:tc>
        <w:tc>
          <w:tcPr>
            <w:tcW w:type="dxa" w:w="1250"/>
            <w:tcMar>
              <w:top w:type="dxa" w:w="50"/>
              <w:left w:type="dxa" w:w="70"/>
              <w:bottom w:type="dxa" w:w="50"/>
              <w:right w:type="dxa" w:w="70"/>
            </w:tcMar>
          </w:tcPr>
          <w:p>
            <w:r>
              <w:rPr>
                <w:rFonts w:ascii="Calibri" w:cs="Calibri" w:eastAsia="Calibri" w:hAnsi="Calibri"/>
                <w:b w:val="false"/>
                <w:bCs w:val="false"/>
                <w:sz w:val="15"/>
                <w:szCs w:val="15"/>
              </w:rPr>
              <w:t xml:space="preserve">7 Mar 2022</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5.8, 31 Aug 2026</w:t>
            </w:r>
          </w:p>
        </w:tc>
        <w:tc>
          <w:tcPr>
            <w:tcW w:type="dxa" w:w="2600"/>
            <w:tcMar>
              <w:top w:type="dxa" w:w="50"/>
              <w:left w:type="dxa" w:w="70"/>
              <w:bottom w:type="dxa" w:w="50"/>
              <w:right w:type="dxa" w:w="70"/>
            </w:tcMar>
          </w:tcPr>
          <w:p>
            <w:r>
              <w:rPr>
                <w:rFonts w:ascii="Calibri" w:cs="Calibri" w:eastAsia="Calibri" w:hAnsi="Calibri"/>
                <w:b w:val="false"/>
                <w:bCs w:val="false"/>
                <w:sz w:val="15"/>
                <w:szCs w:val="15"/>
              </w:rPr>
              <w:t xml:space="preserve">Feb 2024: thousands of new words; Jan 2025: Focus mode</w:t>
            </w:r>
          </w:p>
        </w:tc>
        <w:tc>
          <w:tcPr>
            <w:tcW w:type="dxa" w:w="2050"/>
            <w:tcMar>
              <w:top w:type="dxa" w:w="50"/>
              <w:left w:type="dxa" w:w="70"/>
              <w:bottom w:type="dxa" w:w="50"/>
              <w:right w:type="dxa" w:w="70"/>
            </w:tcMar>
          </w:tcPr>
          <w:p>
            <w:r>
              <w:rPr>
                <w:rFonts w:ascii="Calibri" w:cs="Calibri" w:eastAsia="Calibri" w:hAnsi="Calibri"/>
                <w:b w:val="false"/>
                <w:bCs w:val="false"/>
                <w:sz w:val="15"/>
                <w:szCs w:val="15"/>
              </w:rPr>
              <w:t xml:space="preserve">$9.99 a month, $99.99 a year; school $99.99 per student-year</w:t>
            </w:r>
          </w:p>
        </w:tc>
      </w:tr>
      <w:tr>
        <w:tc>
          <w:tcPr>
            <w:tcW w:type="dxa" w:w="1500"/>
            <w:tcMar>
              <w:top w:type="dxa" w:w="50"/>
              <w:left w:type="dxa" w:w="70"/>
              <w:bottom w:type="dxa" w:w="50"/>
              <w:right w:type="dxa" w:w="70"/>
            </w:tcMar>
          </w:tcPr>
          <w:p>
            <w:r>
              <w:rPr>
                <w:rFonts w:ascii="Calibri" w:cs="Calibri" w:eastAsia="Calibri" w:hAnsi="Calibri"/>
                <w:b w:val="false"/>
                <w:bCs w:val="false"/>
                <w:sz w:val="15"/>
                <w:szCs w:val="15"/>
              </w:rPr>
              <w:t xml:space="preserve">Grid for iPad / Grid 3</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Smartbox (UK)</w:t>
            </w:r>
          </w:p>
        </w:tc>
        <w:tc>
          <w:tcPr>
            <w:tcW w:type="dxa" w:w="1250"/>
            <w:tcMar>
              <w:top w:type="dxa" w:w="50"/>
              <w:left w:type="dxa" w:w="70"/>
              <w:bottom w:type="dxa" w:w="50"/>
              <w:right w:type="dxa" w:w="70"/>
            </w:tcMar>
          </w:tcPr>
          <w:p>
            <w:r>
              <w:rPr>
                <w:rFonts w:ascii="Calibri" w:cs="Calibri" w:eastAsia="Calibri" w:hAnsi="Calibri"/>
                <w:b w:val="false"/>
                <w:bCs w:val="false"/>
                <w:sz w:val="15"/>
                <w:szCs w:val="15"/>
              </w:rPr>
              <w:t xml:space="preserve">31 Jan 2018 (Grid 3 by 2016)</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3.0.104.8, 27 Aug 2026</w:t>
            </w:r>
          </w:p>
        </w:tc>
        <w:tc>
          <w:tcPr>
            <w:tcW w:type="dxa" w:w="2600"/>
            <w:tcMar>
              <w:top w:type="dxa" w:w="50"/>
              <w:left w:type="dxa" w:w="70"/>
              <w:bottom w:type="dxa" w:w="50"/>
              <w:right w:type="dxa" w:w="70"/>
            </w:tcMar>
          </w:tcPr>
          <w:p>
            <w:r>
              <w:rPr>
                <w:rFonts w:ascii="Calibri" w:cs="Calibri" w:eastAsia="Calibri" w:hAnsi="Calibri"/>
                <w:b w:val="false"/>
                <w:bCs w:val="false"/>
                <w:sz w:val="15"/>
                <w:szCs w:val="15"/>
              </w:rPr>
              <w:t xml:space="preserve">Jun 2026: version control, Super Core v2, AI grid sets</w:t>
            </w:r>
          </w:p>
        </w:tc>
        <w:tc>
          <w:tcPr>
            <w:tcW w:type="dxa" w:w="2050"/>
            <w:tcMar>
              <w:top w:type="dxa" w:w="50"/>
              <w:left w:type="dxa" w:w="70"/>
              <w:bottom w:type="dxa" w:w="50"/>
              <w:right w:type="dxa" w:w="70"/>
            </w:tcMar>
          </w:tcPr>
          <w:p>
            <w:r>
              <w:rPr>
                <w:rFonts w:ascii="Calibri" w:cs="Calibri" w:eastAsia="Calibri" w:hAnsi="Calibri"/>
                <w:b w:val="false"/>
                <w:bCs w:val="false"/>
                <w:sz w:val="15"/>
                <w:szCs w:val="15"/>
              </w:rPr>
              <w:t xml:space="preserve">$299.99 or $10.99 a month; Windows price not published</w:t>
            </w:r>
          </w:p>
        </w:tc>
      </w:tr>
      <w:tr>
        <w:tc>
          <w:tcPr>
            <w:tcW w:type="dxa" w:w="1500"/>
            <w:tcMar>
              <w:top w:type="dxa" w:w="50"/>
              <w:left w:type="dxa" w:w="70"/>
              <w:bottom w:type="dxa" w:w="50"/>
              <w:right w:type="dxa" w:w="70"/>
            </w:tcMar>
          </w:tcPr>
          <w:p>
            <w:r>
              <w:rPr>
                <w:rFonts w:ascii="Calibri" w:cs="Calibri" w:eastAsia="Calibri" w:hAnsi="Calibri"/>
                <w:b w:val="false"/>
                <w:bCs w:val="false"/>
                <w:sz w:val="15"/>
                <w:szCs w:val="15"/>
              </w:rPr>
              <w:t xml:space="preserve">Avaz</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Avaz (India, 2007)</w:t>
            </w:r>
          </w:p>
        </w:tc>
        <w:tc>
          <w:tcPr>
            <w:tcW w:type="dxa" w:w="1250"/>
            <w:tcMar>
              <w:top w:type="dxa" w:w="50"/>
              <w:left w:type="dxa" w:w="70"/>
              <w:bottom w:type="dxa" w:w="50"/>
              <w:right w:type="dxa" w:w="70"/>
            </w:tcMar>
          </w:tcPr>
          <w:p>
            <w:r>
              <w:rPr>
                <w:rFonts w:ascii="Calibri" w:cs="Calibri" w:eastAsia="Calibri" w:hAnsi="Calibri"/>
                <w:b w:val="false"/>
                <w:bCs w:val="false"/>
                <w:sz w:val="15"/>
                <w:szCs w:val="15"/>
              </w:rPr>
              <w:t xml:space="preserve">18 Sep 2012</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8.0.5, 10 Jun 2026</w:t>
            </w:r>
          </w:p>
        </w:tc>
        <w:tc>
          <w:tcPr>
            <w:tcW w:type="dxa" w:w="2600"/>
            <w:tcMar>
              <w:top w:type="dxa" w:w="50"/>
              <w:left w:type="dxa" w:w="70"/>
              <w:bottom w:type="dxa" w:w="50"/>
              <w:right w:type="dxa" w:w="70"/>
            </w:tcMar>
          </w:tcPr>
          <w:p>
            <w:r>
              <w:rPr>
                <w:rFonts w:ascii="Calibri" w:cs="Calibri" w:eastAsia="Calibri" w:hAnsi="Calibri"/>
                <w:b w:val="false"/>
                <w:bCs w:val="false"/>
                <w:sz w:val="15"/>
                <w:szCs w:val="15"/>
              </w:rPr>
              <w:t xml:space="preserve">Sep 2024: grids up to 117 cells, persistent core row</w:t>
            </w:r>
          </w:p>
        </w:tc>
        <w:tc>
          <w:tcPr>
            <w:tcW w:type="dxa" w:w="2050"/>
            <w:tcMar>
              <w:top w:type="dxa" w:w="50"/>
              <w:left w:type="dxa" w:w="70"/>
              <w:bottom w:type="dxa" w:w="50"/>
              <w:right w:type="dxa" w:w="70"/>
            </w:tcMar>
          </w:tcPr>
          <w:p>
            <w:r>
              <w:rPr>
                <w:rFonts w:ascii="Calibri" w:cs="Calibri" w:eastAsia="Calibri" w:hAnsi="Calibri"/>
                <w:b w:val="false"/>
                <w:bCs w:val="false"/>
                <w:sz w:val="15"/>
                <w:szCs w:val="15"/>
              </w:rPr>
              <w:t xml:space="preserve">$299.99 lifetime; $9.99 a month</w:t>
            </w:r>
          </w:p>
        </w:tc>
      </w:tr>
      <w:tr>
        <w:tc>
          <w:tcPr>
            <w:tcW w:type="dxa" w:w="1500"/>
            <w:tcMar>
              <w:top w:type="dxa" w:w="50"/>
              <w:left w:type="dxa" w:w="70"/>
              <w:bottom w:type="dxa" w:w="50"/>
              <w:right w:type="dxa" w:w="70"/>
            </w:tcMar>
          </w:tcPr>
          <w:p>
            <w:r>
              <w:rPr>
                <w:rFonts w:ascii="Calibri" w:cs="Calibri" w:eastAsia="Calibri" w:hAnsi="Calibri"/>
                <w:b w:val="false"/>
                <w:bCs w:val="false"/>
                <w:sz w:val="15"/>
                <w:szCs w:val="15"/>
              </w:rPr>
              <w:t xml:space="preserve">CoughDrop</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MAVWARE, with Forbes AAC</w:t>
            </w:r>
          </w:p>
        </w:tc>
        <w:tc>
          <w:tcPr>
            <w:tcW w:type="dxa" w:w="1250"/>
            <w:tcMar>
              <w:top w:type="dxa" w:w="50"/>
              <w:left w:type="dxa" w:w="70"/>
              <w:bottom w:type="dxa" w:w="50"/>
              <w:right w:type="dxa" w:w="70"/>
            </w:tcMar>
          </w:tcPr>
          <w:p>
            <w:r>
              <w:rPr>
                <w:rFonts w:ascii="Calibri" w:cs="Calibri" w:eastAsia="Calibri" w:hAnsi="Calibri"/>
                <w:b w:val="false"/>
                <w:bCs w:val="false"/>
                <w:sz w:val="15"/>
                <w:szCs w:val="15"/>
              </w:rPr>
              <w:t xml:space="preserve">11 Oct 2015</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2 Nov 2025 (iOS)</w:t>
            </w:r>
          </w:p>
        </w:tc>
        <w:tc>
          <w:tcPr>
            <w:tcW w:type="dxa" w:w="2600"/>
            <w:tcMar>
              <w:top w:type="dxa" w:w="50"/>
              <w:left w:type="dxa" w:w="70"/>
              <w:bottom w:type="dxa" w:w="50"/>
              <w:right w:type="dxa" w:w="70"/>
            </w:tcMar>
          </w:tcPr>
          <w:p>
            <w:r>
              <w:rPr>
                <w:rFonts w:ascii="Calibri" w:cs="Calibri" w:eastAsia="Calibri" w:hAnsi="Calibri"/>
                <w:b w:val="false"/>
                <w:bCs w:val="false"/>
                <w:sz w:val="15"/>
                <w:szCs w:val="15"/>
              </w:rPr>
              <w:t xml:space="preserve">None in 25 versions; nearest Jun 2023 eye-tracking support</w:t>
            </w:r>
          </w:p>
        </w:tc>
        <w:tc>
          <w:tcPr>
            <w:tcW w:type="dxa" w:w="2050"/>
            <w:tcMar>
              <w:top w:type="dxa" w:w="50"/>
              <w:left w:type="dxa" w:w="70"/>
              <w:bottom w:type="dxa" w:w="50"/>
              <w:right w:type="dxa" w:w="70"/>
            </w:tcMar>
          </w:tcPr>
          <w:p>
            <w:r>
              <w:rPr>
                <w:rFonts w:ascii="Calibri" w:cs="Calibri" w:eastAsia="Calibri" w:hAnsi="Calibri"/>
                <w:b w:val="false"/>
                <w:bCs w:val="false"/>
                <w:sz w:val="15"/>
                <w:szCs w:val="15"/>
              </w:rPr>
              <w:t xml:space="preserve">Free; access $44.99 or $294.99</w:t>
            </w:r>
          </w:p>
        </w:tc>
      </w:tr>
      <w:tr>
        <w:tc>
          <w:tcPr>
            <w:tcW w:type="dxa" w:w="1500"/>
            <w:tcMar>
              <w:top w:type="dxa" w:w="50"/>
              <w:left w:type="dxa" w:w="70"/>
              <w:bottom w:type="dxa" w:w="50"/>
              <w:right w:type="dxa" w:w="70"/>
            </w:tcMar>
          </w:tcPr>
          <w:p>
            <w:r>
              <w:rPr>
                <w:rFonts w:ascii="Calibri" w:cs="Calibri" w:eastAsia="Calibri" w:hAnsi="Calibri"/>
                <w:b w:val="false"/>
                <w:bCs w:val="false"/>
                <w:sz w:val="15"/>
                <w:szCs w:val="15"/>
              </w:rPr>
              <w:t xml:space="preserve">GoTalk NOW</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Attainment Company</w:t>
            </w:r>
          </w:p>
        </w:tc>
        <w:tc>
          <w:tcPr>
            <w:tcW w:type="dxa" w:w="1250"/>
            <w:tcMar>
              <w:top w:type="dxa" w:w="50"/>
              <w:left w:type="dxa" w:w="70"/>
              <w:bottom w:type="dxa" w:w="50"/>
              <w:right w:type="dxa" w:w="70"/>
            </w:tcMar>
          </w:tcPr>
          <w:p>
            <w:r>
              <w:rPr>
                <w:rFonts w:ascii="Calibri" w:cs="Calibri" w:eastAsia="Calibri" w:hAnsi="Calibri"/>
                <w:b w:val="false"/>
                <w:bCs w:val="false"/>
                <w:sz w:val="15"/>
                <w:szCs w:val="15"/>
              </w:rPr>
              <w:t xml:space="preserve">12 Oct 2011</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7.0.4, 12 Aug 2026</w:t>
            </w:r>
          </w:p>
        </w:tc>
        <w:tc>
          <w:tcPr>
            <w:tcW w:type="dxa" w:w="2600"/>
            <w:tcMar>
              <w:top w:type="dxa" w:w="50"/>
              <w:left w:type="dxa" w:w="70"/>
              <w:bottom w:type="dxa" w:w="50"/>
              <w:right w:type="dxa" w:w="70"/>
            </w:tcMar>
          </w:tcPr>
          <w:p>
            <w:r>
              <w:rPr>
                <w:rFonts w:ascii="Calibri" w:cs="Calibri" w:eastAsia="Calibri" w:hAnsi="Calibri"/>
                <w:b w:val="false"/>
                <w:bCs w:val="false"/>
                <w:sz w:val="15"/>
                <w:szCs w:val="15"/>
              </w:rPr>
              <w:t xml:space="preserve">May 2026: rebuilt from the ground up</w:t>
            </w:r>
          </w:p>
        </w:tc>
        <w:tc>
          <w:tcPr>
            <w:tcW w:type="dxa" w:w="2050"/>
            <w:tcMar>
              <w:top w:type="dxa" w:w="50"/>
              <w:left w:type="dxa" w:w="70"/>
              <w:bottom w:type="dxa" w:w="50"/>
              <w:right w:type="dxa" w:w="70"/>
            </w:tcMar>
          </w:tcPr>
          <w:p>
            <w:r>
              <w:rPr>
                <w:rFonts w:ascii="Calibri" w:cs="Calibri" w:eastAsia="Calibri" w:hAnsi="Calibri"/>
                <w:b w:val="false"/>
                <w:bCs w:val="false"/>
                <w:sz w:val="15"/>
                <w:szCs w:val="15"/>
              </w:rPr>
              <w:t xml:space="preserve">$119.99</w:t>
            </w:r>
          </w:p>
        </w:tc>
      </w:tr>
      <w:tr>
        <w:tc>
          <w:tcPr>
            <w:tcW w:type="dxa" w:w="1500"/>
            <w:tcMar>
              <w:top w:type="dxa" w:w="50"/>
              <w:left w:type="dxa" w:w="70"/>
              <w:bottom w:type="dxa" w:w="50"/>
              <w:right w:type="dxa" w:w="70"/>
            </w:tcMar>
          </w:tcPr>
          <w:p>
            <w:r>
              <w:rPr>
                <w:rFonts w:ascii="Calibri" w:cs="Calibri" w:eastAsia="Calibri" w:hAnsi="Calibri"/>
                <w:b w:val="false"/>
                <w:bCs w:val="false"/>
                <w:sz w:val="15"/>
                <w:szCs w:val="15"/>
              </w:rPr>
              <w:t xml:space="preserve">Speak for Yourself</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Speak for Yourself LLC</w:t>
            </w:r>
          </w:p>
        </w:tc>
        <w:tc>
          <w:tcPr>
            <w:tcW w:type="dxa" w:w="1250"/>
            <w:tcMar>
              <w:top w:type="dxa" w:w="50"/>
              <w:left w:type="dxa" w:w="70"/>
              <w:bottom w:type="dxa" w:w="50"/>
              <w:right w:type="dxa" w:w="70"/>
            </w:tcMar>
          </w:tcPr>
          <w:p>
            <w:r>
              <w:rPr>
                <w:rFonts w:ascii="Calibri" w:cs="Calibri" w:eastAsia="Calibri" w:hAnsi="Calibri"/>
                <w:b w:val="false"/>
                <w:bCs w:val="false"/>
                <w:sz w:val="15"/>
                <w:szCs w:val="15"/>
              </w:rPr>
              <w:t xml:space="preserve">21 Dec 2011</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4.13, 29 Jul 2026</w:t>
            </w:r>
          </w:p>
        </w:tc>
        <w:tc>
          <w:tcPr>
            <w:tcW w:type="dxa" w:w="2600"/>
            <w:tcMar>
              <w:top w:type="dxa" w:w="50"/>
              <w:left w:type="dxa" w:w="70"/>
              <w:bottom w:type="dxa" w:w="50"/>
              <w:right w:type="dxa" w:w="70"/>
            </w:tcMar>
          </w:tcPr>
          <w:p>
            <w:r>
              <w:rPr>
                <w:rFonts w:ascii="Calibri" w:cs="Calibri" w:eastAsia="Calibri" w:hAnsi="Calibri"/>
                <w:b w:val="false"/>
                <w:bCs w:val="false"/>
                <w:sz w:val="15"/>
                <w:szCs w:val="15"/>
              </w:rPr>
              <w:t xml:space="preserve">Aug 2025: multitasking, Sentence Navigator; symbols replaced Apr 2023</w:t>
            </w:r>
          </w:p>
        </w:tc>
        <w:tc>
          <w:tcPr>
            <w:tcW w:type="dxa" w:w="2050"/>
            <w:tcMar>
              <w:top w:type="dxa" w:w="50"/>
              <w:left w:type="dxa" w:w="70"/>
              <w:bottom w:type="dxa" w:w="50"/>
              <w:right w:type="dxa" w:w="70"/>
            </w:tcMar>
          </w:tcPr>
          <w:p>
            <w:r>
              <w:rPr>
                <w:rFonts w:ascii="Calibri" w:cs="Calibri" w:eastAsia="Calibri" w:hAnsi="Calibri"/>
                <w:b w:val="false"/>
                <w:bCs w:val="false"/>
                <w:sz w:val="15"/>
                <w:szCs w:val="15"/>
              </w:rPr>
              <w:t xml:space="preserve">$299.99</w:t>
            </w:r>
          </w:p>
        </w:tc>
      </w:tr>
      <w:tr>
        <w:tc>
          <w:tcPr>
            <w:tcW w:type="dxa" w:w="1500"/>
            <w:tcMar>
              <w:top w:type="dxa" w:w="50"/>
              <w:left w:type="dxa" w:w="70"/>
              <w:bottom w:type="dxa" w:w="50"/>
              <w:right w:type="dxa" w:w="70"/>
            </w:tcMar>
          </w:tcPr>
          <w:p>
            <w:r>
              <w:rPr>
                <w:rFonts w:ascii="Calibri" w:cs="Calibri" w:eastAsia="Calibri" w:hAnsi="Calibri"/>
                <w:b w:val="false"/>
                <w:bCs w:val="false"/>
                <w:sz w:val="15"/>
                <w:szCs w:val="15"/>
              </w:rPr>
              <w:t xml:space="preserve">Boardmaker 7 / PCS symbols</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Tobii Dynavox</w:t>
            </w:r>
          </w:p>
        </w:tc>
        <w:tc>
          <w:tcPr>
            <w:tcW w:type="dxa" w:w="1250"/>
            <w:tcMar>
              <w:top w:type="dxa" w:w="50"/>
              <w:left w:type="dxa" w:w="70"/>
              <w:bottom w:type="dxa" w:w="50"/>
              <w:right w:type="dxa" w:w="70"/>
            </w:tcMar>
          </w:tcPr>
          <w:p>
            <w:r>
              <w:rPr>
                <w:rFonts w:ascii="Calibri" w:cs="Calibri" w:eastAsia="Calibri" w:hAnsi="Calibri"/>
                <w:b w:val="false"/>
                <w:bCs w:val="false"/>
                <w:sz w:val="15"/>
                <w:szCs w:val="15"/>
              </w:rPr>
              <w:t xml:space="preserve">Boardmaker 7 Nov 2020; PCS “over 30 years”</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7.2.7, 16 Apr 2025</w:t>
            </w:r>
          </w:p>
        </w:tc>
        <w:tc>
          <w:tcPr>
            <w:tcW w:type="dxa" w:w="2600"/>
            <w:tcMar>
              <w:top w:type="dxa" w:w="50"/>
              <w:left w:type="dxa" w:w="70"/>
              <w:bottom w:type="dxa" w:w="50"/>
              <w:right w:type="dxa" w:w="70"/>
            </w:tcMar>
          </w:tcPr>
          <w:p>
            <w:r>
              <w:rPr>
                <w:rFonts w:ascii="Calibri" w:cs="Calibri" w:eastAsia="Calibri" w:hAnsi="Calibri"/>
                <w:b w:val="false"/>
                <w:bCs w:val="false"/>
                <w:sz w:val="15"/>
                <w:szCs w:val="15"/>
              </w:rPr>
              <w:t xml:space="preserve">Jul 2024 fixes; no vocabulary change</w:t>
            </w:r>
          </w:p>
        </w:tc>
        <w:tc>
          <w:tcPr>
            <w:tcW w:type="dxa" w:w="2050"/>
            <w:tcMar>
              <w:top w:type="dxa" w:w="50"/>
              <w:left w:type="dxa" w:w="70"/>
              <w:bottom w:type="dxa" w:w="50"/>
              <w:right w:type="dxa" w:w="70"/>
            </w:tcMar>
          </w:tcPr>
          <w:p>
            <w:r>
              <w:rPr>
                <w:rFonts w:ascii="Calibri" w:cs="Calibri" w:eastAsia="Calibri" w:hAnsi="Calibri"/>
                <w:b w:val="false"/>
                <w:bCs w:val="false"/>
                <w:sz w:val="15"/>
                <w:szCs w:val="15"/>
              </w:rPr>
              <w:t xml:space="preserve">$399; PCS 85,000+ symbols</w:t>
            </w:r>
          </w:p>
        </w:tc>
      </w:tr>
    </w:tbl>
    <w:p>
      <w:pPr>
        <w:spacing w:after="120"/>
      </w:pPr>
      <w:r>
        <w:rPr>
          <w:rFonts w:ascii="Calibri" w:cs="Calibri" w:eastAsia="Calibri" w:hAnsi="Calibri"/>
          <w:sz w:val="22"/>
          <w:szCs w:val="22"/>
        </w:rPr>
        <w:t xml:space="preserve"/>
      </w:r>
    </w:p>
    <w:p>
      <w:pPr>
        <w:pStyle w:val="Heading2"/>
        <w:spacing w:after="100" w:before="240"/>
      </w:pPr>
      <w:r>
        <w:rPr>
          <w:rFonts w:ascii="Calibri" w:cs="Calibri" w:eastAsia="Calibri" w:hAnsi="Calibri"/>
        </w:rPr>
        <w:t xml:space="preserve">Dedicated devices</w:t>
      </w:r>
    </w:p>
    <w:p>
      <w:pPr>
        <w:pStyle w:val="ListParagraph"/>
        <w:numPr>
          <w:ilvl w:val="0"/>
          <w:numId w:val="2"/>
        </w:numPr>
        <w:spacing w:after="80"/>
      </w:pPr>
      <w:r>
        <w:rPr>
          <w:rFonts w:ascii="Calibri" w:cs="Calibri" w:eastAsia="Calibri" w:hAnsi="Calibri"/>
          <w:sz w:val="22"/>
          <w:szCs w:val="22"/>
        </w:rPr>
        <w:t xml:space="preserve">PRC-Saltillo Accent series (Windows) running Unity, WordPower or LAMP; the Accent 1200 dates from 2012; Empower is described as the newest software with no date published. Saltillo NovaChat (Android) from 2012. Prices are not published; the maker's store is a script shell that serves no product text. Funded by Medicaid, Medicare and insurance per the maker.</w:t>
      </w:r>
    </w:p>
    <w:p>
      <w:pPr>
        <w:pStyle w:val="ListParagraph"/>
        <w:numPr>
          <w:ilvl w:val="0"/>
          <w:numId w:val="2"/>
        </w:numPr>
        <w:spacing w:after="80"/>
      </w:pPr>
      <w:r>
        <w:rPr>
          <w:rFonts w:ascii="Calibri" w:cs="Calibri" w:eastAsia="Calibri" w:hAnsi="Calibri"/>
          <w:sz w:val="22"/>
          <w:szCs w:val="22"/>
        </w:rPr>
        <w:t xml:space="preserve">Tobii Dynavox TD I-Series (I-13, I-16, eye control) and TD I-110 (rugged touch device), both Windows, both running TD Snap. Prices by quote through a contact form. The company traces itself to Sentient Systems in 1991 and DynaVox in 1998; Tobii bought DynaVox in 2014.</w:t>
      </w:r>
    </w:p>
    <w:p>
      <w:pPr>
        <w:pStyle w:val="ListParagraph"/>
        <w:numPr>
          <w:ilvl w:val="0"/>
          <w:numId w:val="2"/>
        </w:numPr>
        <w:spacing w:after="80"/>
      </w:pPr>
      <w:r>
        <w:rPr>
          <w:rFonts w:ascii="Calibri" w:cs="Calibri" w:eastAsia="Calibri" w:hAnsi="Calibri"/>
          <w:sz w:val="22"/>
          <w:szCs w:val="22"/>
        </w:rPr>
        <w:t xml:space="preserve">AbleNet QuickTalker Freestyle, Forbes AAC ProSlate and Talk To Me Technologies devices are iPads or Windows tablets sold as insurance-funded speech devices, running whichever App Store app or Grid software is chosen. AbleNet's own page says it is not affiliated with any app maker. Talk To Me is now Smartbox US.</w:t>
      </w:r>
    </w:p>
    <w:p>
      <w:pPr>
        <w:pStyle w:val="Heading2"/>
        <w:spacing w:after="100" w:before="240"/>
      </w:pPr>
      <w:r>
        <w:rPr>
          <w:rFonts w:ascii="Calibri" w:cs="Calibri" w:eastAsia="Calibri" w:hAnsi="Calibri"/>
        </w:rPr>
        <w:t xml:space="preserve">The symbol sets</w:t>
      </w:r>
    </w:p>
    <w:p>
      <w:pPr>
        <w:pStyle w:val="ListParagraph"/>
        <w:numPr>
          <w:ilvl w:val="0"/>
          <w:numId w:val="2"/>
        </w:numPr>
        <w:spacing w:after="80"/>
      </w:pPr>
      <w:r>
        <w:rPr>
          <w:rFonts w:ascii="Calibri" w:cs="Calibri" w:eastAsia="Calibri" w:hAnsi="Calibri"/>
          <w:sz w:val="22"/>
          <w:szCs w:val="22"/>
        </w:rPr>
        <w:t xml:space="preserve">PCS (Tobii Dynavox): “over 30 years”, 85,000 symbols, licensed; the creator and year are not on the maker's page. SymbolStix (n2y, now everway): 100,000 symbols, used by TouchChat, Avaz, GoTalk NOW and Grid; year not stated. Smarty Symbols in Speak for Yourself since 2023. Crescendo (AssistiveWare), WordPower (Inman Innovations), Core First (Tobii Dynavox) and Super Core (Smartbox): no creation year on any maker page.</w:t>
      </w:r>
    </w:p>
    <w:p>
      <w:pPr>
        <w:spacing w:after="100"/>
      </w:pPr>
      <w:r>
        <w:rPr>
          <w:rFonts w:ascii="Calibri" w:cs="Calibri" w:eastAsia="Calibri" w:hAnsi="Calibri"/>
          <w:color w:val="6B6459"/>
          <w:sz w:val="18"/>
          <w:szCs w:val="18"/>
        </w:rPr>
        <w:t xml:space="preserve">Working file: research/aac-elementary-2026-09-10/aac-products.md, one URL per fact.</w:t>
      </w:r>
    </w:p>
    <w:p>
      <w:pPr>
        <w:pStyle w:val="Heading1"/>
        <w:spacing w:after="120" w:before="320"/>
      </w:pPr>
      <w:r>
        <w:rPr>
          <w:rFonts w:ascii="Calibri" w:cs="Calibri" w:eastAsia="Calibri" w:hAnsi="Calibri"/>
        </w:rPr>
        <w:t xml:space="preserve">3. The design basis, and how old it 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600"/>
        <w:gridCol w:w="3600"/>
      </w:tblGrid>
      <w:tr>
        <w:tc>
          <w:tcPr>
            <w:tcW w:type="dxa" w:w="1900"/>
            <w:shd w:fill="E8E3DA" w:color="auto" w:val="clear"/>
            <w:tcMar>
              <w:top w:type="dxa" w:w="50"/>
              <w:left w:type="dxa" w:w="70"/>
              <w:bottom w:type="dxa" w:w="50"/>
              <w:right w:type="dxa" w:w="70"/>
            </w:tcMar>
          </w:tcPr>
          <w:p>
            <w:r>
              <w:rPr>
                <w:rFonts w:ascii="Calibri" w:cs="Calibri" w:eastAsia="Calibri" w:hAnsi="Calibri"/>
                <w:b/>
                <w:bCs/>
                <w:sz w:val="15"/>
                <w:szCs w:val="15"/>
              </w:rPr>
              <w:t xml:space="preserve">Design basis</w:t>
            </w:r>
          </w:p>
        </w:tc>
        <w:tc>
          <w:tcPr>
            <w:tcW w:type="dxa" w:w="1900"/>
            <w:shd w:fill="E8E3DA" w:color="auto" w:val="clear"/>
            <w:tcMar>
              <w:top w:type="dxa" w:w="50"/>
              <w:left w:type="dxa" w:w="70"/>
              <w:bottom w:type="dxa" w:w="50"/>
              <w:right w:type="dxa" w:w="70"/>
            </w:tcMar>
          </w:tcPr>
          <w:p>
            <w:r>
              <w:rPr>
                <w:rFonts w:ascii="Calibri" w:cs="Calibri" w:eastAsia="Calibri" w:hAnsi="Calibri"/>
                <w:b/>
                <w:bCs/>
                <w:sz w:val="15"/>
                <w:szCs w:val="15"/>
              </w:rPr>
              <w:t xml:space="preserve">Created</w:t>
            </w:r>
          </w:p>
        </w:tc>
        <w:tc>
          <w:tcPr>
            <w:tcW w:type="dxa" w:w="2600"/>
            <w:shd w:fill="E8E3DA" w:color="auto" w:val="clear"/>
            <w:tcMar>
              <w:top w:type="dxa" w:w="50"/>
              <w:left w:type="dxa" w:w="70"/>
              <w:bottom w:type="dxa" w:w="50"/>
              <w:right w:type="dxa" w:w="70"/>
            </w:tcMar>
          </w:tcPr>
          <w:p>
            <w:r>
              <w:rPr>
                <w:rFonts w:ascii="Calibri" w:cs="Calibri" w:eastAsia="Calibri" w:hAnsi="Calibri"/>
                <w:b/>
                <w:bCs/>
                <w:sz w:val="15"/>
                <w:szCs w:val="15"/>
              </w:rPr>
              <w:t xml:space="preserve">Most recent primary evidence reached</w:t>
            </w:r>
          </w:p>
        </w:tc>
        <w:tc>
          <w:tcPr>
            <w:tcW w:type="dxa" w:w="3600"/>
            <w:shd w:fill="E8E3DA" w:color="auto" w:val="clear"/>
            <w:tcMar>
              <w:top w:type="dxa" w:w="50"/>
              <w:left w:type="dxa" w:w="70"/>
              <w:bottom w:type="dxa" w:w="50"/>
              <w:right w:type="dxa" w:w="70"/>
            </w:tcMar>
          </w:tcPr>
          <w:p>
            <w:r>
              <w:rPr>
                <w:rFonts w:ascii="Calibri" w:cs="Calibri" w:eastAsia="Calibri" w:hAnsi="Calibri"/>
                <w:b/>
                <w:bCs/>
                <w:sz w:val="15"/>
                <w:szCs w:val="15"/>
              </w:rPr>
              <w:t xml:space="preserve">What it rests on</w:t>
            </w:r>
          </w:p>
        </w:tc>
      </w:tr>
      <w:tr>
        <w:tc>
          <w:tcPr>
            <w:tcW w:type="dxa" w:w="1900"/>
            <w:tcMar>
              <w:top w:type="dxa" w:w="50"/>
              <w:left w:type="dxa" w:w="70"/>
              <w:bottom w:type="dxa" w:w="50"/>
              <w:right w:type="dxa" w:w="70"/>
            </w:tcMar>
          </w:tcPr>
          <w:p>
            <w:r>
              <w:rPr>
                <w:rFonts w:ascii="Calibri" w:cs="Calibri" w:eastAsia="Calibri" w:hAnsi="Calibri"/>
                <w:b w:val="false"/>
                <w:bCs w:val="false"/>
                <w:sz w:val="15"/>
                <w:szCs w:val="15"/>
              </w:rPr>
              <w:t xml:space="preserve">Semantic Compaction / Minspeak / Unity</w:t>
            </w:r>
          </w:p>
        </w:tc>
        <w:tc>
          <w:tcPr>
            <w:tcW w:type="dxa" w:w="1900"/>
            <w:tcMar>
              <w:top w:type="dxa" w:w="50"/>
              <w:left w:type="dxa" w:w="70"/>
              <w:bottom w:type="dxa" w:w="50"/>
              <w:right w:type="dxa" w:w="70"/>
            </w:tcMar>
          </w:tcPr>
          <w:p>
            <w:r>
              <w:rPr>
                <w:rFonts w:ascii="Calibri" w:cs="Calibri" w:eastAsia="Calibri" w:hAnsi="Calibri"/>
                <w:b w:val="false"/>
                <w:bCs w:val="false"/>
                <w:sz w:val="15"/>
                <w:szCs w:val="15"/>
              </w:rPr>
              <w:t xml:space="preserve">1982; Unity 1995 (PRC's own timeline)</w:t>
            </w:r>
          </w:p>
        </w:tc>
        <w:tc>
          <w:tcPr>
            <w:tcW w:type="dxa" w:w="2600"/>
            <w:tcMar>
              <w:top w:type="dxa" w:w="50"/>
              <w:left w:type="dxa" w:w="70"/>
              <w:bottom w:type="dxa" w:w="50"/>
              <w:right w:type="dxa" w:w="70"/>
            </w:tcMar>
          </w:tcPr>
          <w:p>
            <w:r>
              <w:rPr>
                <w:rFonts w:ascii="Calibri" w:cs="Calibri" w:eastAsia="Calibri" w:hAnsi="Calibri"/>
                <w:b w:val="false"/>
                <w:bCs w:val="false"/>
                <w:sz w:val="15"/>
                <w:szCs w:val="15"/>
              </w:rPr>
              <w:t xml:space="preserve">2010: 20 typically developing 5-year-olds; encoding found hard</w:t>
            </w:r>
          </w:p>
        </w:tc>
        <w:tc>
          <w:tcPr>
            <w:tcW w:type="dxa" w:w="3600"/>
            <w:tcMar>
              <w:top w:type="dxa" w:w="50"/>
              <w:left w:type="dxa" w:w="70"/>
              <w:bottom w:type="dxa" w:w="50"/>
              <w:right w:type="dxa" w:w="70"/>
            </w:tcMar>
          </w:tcPr>
          <w:p>
            <w:r>
              <w:rPr>
                <w:rFonts w:ascii="Calibri" w:cs="Calibri" w:eastAsia="Calibri" w:hAnsi="Calibri"/>
                <w:b w:val="false"/>
                <w:bCs w:val="false"/>
                <w:sz w:val="15"/>
                <w:szCs w:val="15"/>
              </w:rPr>
              <w:t xml:space="preserve">No controlled study of Unity with school-age AAC users found</w:t>
            </w:r>
          </w:p>
        </w:tc>
      </w:tr>
      <w:tr>
        <w:tc>
          <w:tcPr>
            <w:tcW w:type="dxa" w:w="1900"/>
            <w:tcMar>
              <w:top w:type="dxa" w:w="50"/>
              <w:left w:type="dxa" w:w="70"/>
              <w:bottom w:type="dxa" w:w="50"/>
              <w:right w:type="dxa" w:w="70"/>
            </w:tcMar>
          </w:tcPr>
          <w:p>
            <w:r>
              <w:rPr>
                <w:rFonts w:ascii="Calibri" w:cs="Calibri" w:eastAsia="Calibri" w:hAnsi="Calibri"/>
                <w:b w:val="false"/>
                <w:bCs w:val="false"/>
                <w:sz w:val="15"/>
                <w:szCs w:val="15"/>
              </w:rPr>
              <w:t xml:space="preserve">PCS symbols</w:t>
            </w:r>
          </w:p>
        </w:tc>
        <w:tc>
          <w:tcPr>
            <w:tcW w:type="dxa" w:w="1900"/>
            <w:tcMar>
              <w:top w:type="dxa" w:w="50"/>
              <w:left w:type="dxa" w:w="70"/>
              <w:bottom w:type="dxa" w:w="50"/>
              <w:right w:type="dxa" w:w="70"/>
            </w:tcMar>
          </w:tcPr>
          <w:p>
            <w:r>
              <w:rPr>
                <w:rFonts w:ascii="Calibri" w:cs="Calibri" w:eastAsia="Calibri" w:hAnsi="Calibri"/>
                <w:b w:val="false"/>
                <w:bCs w:val="false"/>
                <w:sz w:val="15"/>
                <w:szCs w:val="15"/>
              </w:rPr>
              <w:t xml:space="preserve">In the literature by 1989; creation year not on maker's page</w:t>
            </w:r>
          </w:p>
        </w:tc>
        <w:tc>
          <w:tcPr>
            <w:tcW w:type="dxa" w:w="2600"/>
            <w:tcMar>
              <w:top w:type="dxa" w:w="50"/>
              <w:left w:type="dxa" w:w="70"/>
              <w:bottom w:type="dxa" w:w="50"/>
              <w:right w:type="dxa" w:w="70"/>
            </w:tcMar>
          </w:tcPr>
          <w:p>
            <w:r>
              <w:rPr>
                <w:rFonts w:ascii="Calibri" w:cs="Calibri" w:eastAsia="Calibri" w:hAnsi="Calibri"/>
                <w:b w:val="false"/>
                <w:bCs w:val="false"/>
                <w:sz w:val="15"/>
                <w:szCs w:val="15"/>
              </w:rPr>
              <w:t xml:space="preserve">2026: 30 Taiwanese children</w:t>
            </w:r>
          </w:p>
        </w:tc>
        <w:tc>
          <w:tcPr>
            <w:tcW w:type="dxa" w:w="3600"/>
            <w:tcMar>
              <w:top w:type="dxa" w:w="50"/>
              <w:left w:type="dxa" w:w="70"/>
              <w:bottom w:type="dxa" w:w="50"/>
              <w:right w:type="dxa" w:w="70"/>
            </w:tcMar>
          </w:tcPr>
          <w:p>
            <w:r>
              <w:rPr>
                <w:rFonts w:ascii="Calibri" w:cs="Calibri" w:eastAsia="Calibri" w:hAnsi="Calibri"/>
                <w:b w:val="false"/>
                <w:bCs w:val="false"/>
                <w:sz w:val="15"/>
                <w:szCs w:val="15"/>
              </w:rPr>
              <w:t xml:space="preserve">Child recognition of PCS measured at 2.8% to 12.5% in 2002 and 2005</w:t>
            </w:r>
          </w:p>
        </w:tc>
      </w:tr>
      <w:tr>
        <w:tc>
          <w:tcPr>
            <w:tcW w:type="dxa" w:w="1900"/>
            <w:tcMar>
              <w:top w:type="dxa" w:w="50"/>
              <w:left w:type="dxa" w:w="70"/>
              <w:bottom w:type="dxa" w:w="50"/>
              <w:right w:type="dxa" w:w="70"/>
            </w:tcMar>
          </w:tcPr>
          <w:p>
            <w:r>
              <w:rPr>
                <w:rFonts w:ascii="Calibri" w:cs="Calibri" w:eastAsia="Calibri" w:hAnsi="Calibri"/>
                <w:b w:val="false"/>
                <w:bCs w:val="false"/>
                <w:sz w:val="15"/>
                <w:szCs w:val="15"/>
              </w:rPr>
              <w:t xml:space="preserve">Core vocabulary</w:t>
            </w:r>
          </w:p>
        </w:tc>
        <w:tc>
          <w:tcPr>
            <w:tcW w:type="dxa" w:w="1900"/>
            <w:tcMar>
              <w:top w:type="dxa" w:w="50"/>
              <w:left w:type="dxa" w:w="70"/>
              <w:bottom w:type="dxa" w:w="50"/>
              <w:right w:type="dxa" w:w="70"/>
            </w:tcMar>
          </w:tcPr>
          <w:p>
            <w:r>
              <w:rPr>
                <w:rFonts w:ascii="Calibri" w:cs="Calibri" w:eastAsia="Calibri" w:hAnsi="Calibri"/>
                <w:b w:val="false"/>
                <w:bCs w:val="false"/>
                <w:sz w:val="15"/>
                <w:szCs w:val="15"/>
              </w:rPr>
              <w:t xml:space="preserve">1984 (five adults); preschool lists 1994 and 2003</w:t>
            </w:r>
          </w:p>
        </w:tc>
        <w:tc>
          <w:tcPr>
            <w:tcW w:type="dxa" w:w="2600"/>
            <w:tcMar>
              <w:top w:type="dxa" w:w="50"/>
              <w:left w:type="dxa" w:w="70"/>
              <w:bottom w:type="dxa" w:w="50"/>
              <w:right w:type="dxa" w:w="70"/>
            </w:tcMar>
          </w:tcPr>
          <w:p>
            <w:r>
              <w:rPr>
                <w:rFonts w:ascii="Calibri" w:cs="Calibri" w:eastAsia="Calibri" w:hAnsi="Calibri"/>
                <w:b w:val="false"/>
                <w:bCs w:val="false"/>
                <w:sz w:val="15"/>
                <w:szCs w:val="15"/>
              </w:rPr>
              <w:t xml:space="preserve">2020 and 2024 reviews</w:t>
            </w:r>
          </w:p>
        </w:tc>
        <w:tc>
          <w:tcPr>
            <w:tcW w:type="dxa" w:w="3600"/>
            <w:tcMar>
              <w:top w:type="dxa" w:w="50"/>
              <w:left w:type="dxa" w:w="70"/>
              <w:bottom w:type="dxa" w:w="50"/>
              <w:right w:type="dxa" w:w="70"/>
            </w:tcMar>
          </w:tcPr>
          <w:p>
            <w:r>
              <w:rPr>
                <w:rFonts w:ascii="Calibri" w:cs="Calibri" w:eastAsia="Calibri" w:hAnsi="Calibri"/>
                <w:b w:val="false"/>
                <w:bCs w:val="false"/>
                <w:sz w:val="15"/>
                <w:szCs w:val="15"/>
              </w:rPr>
              <w:t xml:space="preserve">Recent work by the same field says frequency lists are the wrong basis for beginners</w:t>
            </w:r>
          </w:p>
        </w:tc>
      </w:tr>
      <w:tr>
        <w:tc>
          <w:tcPr>
            <w:tcW w:type="dxa" w:w="1900"/>
            <w:tcMar>
              <w:top w:type="dxa" w:w="50"/>
              <w:left w:type="dxa" w:w="70"/>
              <w:bottom w:type="dxa" w:w="50"/>
              <w:right w:type="dxa" w:w="70"/>
            </w:tcMar>
          </w:tcPr>
          <w:p>
            <w:r>
              <w:rPr>
                <w:rFonts w:ascii="Calibri" w:cs="Calibri" w:eastAsia="Calibri" w:hAnsi="Calibri"/>
                <w:b w:val="false"/>
                <w:bCs w:val="false"/>
                <w:sz w:val="15"/>
                <w:szCs w:val="15"/>
              </w:rPr>
              <w:t xml:space="preserve">LAMP</w:t>
            </w:r>
          </w:p>
        </w:tc>
        <w:tc>
          <w:tcPr>
            <w:tcW w:type="dxa" w:w="1900"/>
            <w:tcMar>
              <w:top w:type="dxa" w:w="50"/>
              <w:left w:type="dxa" w:w="70"/>
              <w:bottom w:type="dxa" w:w="50"/>
              <w:right w:type="dxa" w:w="70"/>
            </w:tcMar>
          </w:tcPr>
          <w:p>
            <w:r>
              <w:rPr>
                <w:rFonts w:ascii="Calibri" w:cs="Calibri" w:eastAsia="Calibri" w:hAnsi="Calibri"/>
                <w:b w:val="false"/>
                <w:bCs w:val="false"/>
                <w:sz w:val="15"/>
                <w:szCs w:val="15"/>
              </w:rPr>
              <w:t xml:space="preserve">2007 workshops; 2012 app</w:t>
            </w:r>
          </w:p>
        </w:tc>
        <w:tc>
          <w:tcPr>
            <w:tcW w:type="dxa" w:w="2600"/>
            <w:tcMar>
              <w:top w:type="dxa" w:w="50"/>
              <w:left w:type="dxa" w:w="70"/>
              <w:bottom w:type="dxa" w:w="50"/>
              <w:right w:type="dxa" w:w="70"/>
            </w:tcMar>
          </w:tcPr>
          <w:p>
            <w:r>
              <w:rPr>
                <w:rFonts w:ascii="Calibri" w:cs="Calibri" w:eastAsia="Calibri" w:hAnsi="Calibri"/>
                <w:b w:val="false"/>
                <w:bCs w:val="false"/>
                <w:sz w:val="15"/>
                <w:szCs w:val="15"/>
              </w:rPr>
              <w:t xml:space="preserve">None on LAMP itself; 2018: 24 preschoolers without disabilities on symbol location</w:t>
            </w:r>
          </w:p>
        </w:tc>
        <w:tc>
          <w:tcPr>
            <w:tcW w:type="dxa" w:w="3600"/>
            <w:tcMar>
              <w:top w:type="dxa" w:w="50"/>
              <w:left w:type="dxa" w:w="70"/>
              <w:bottom w:type="dxa" w:w="50"/>
              <w:right w:type="dxa" w:w="70"/>
            </w:tcMar>
          </w:tcPr>
          <w:p>
            <w:r>
              <w:rPr>
                <w:rFonts w:ascii="Calibri" w:cs="Calibri" w:eastAsia="Calibri" w:hAnsi="Calibri"/>
                <w:b w:val="false"/>
                <w:bCs w:val="false"/>
                <w:sz w:val="15"/>
                <w:szCs w:val="15"/>
              </w:rPr>
              <w:t xml:space="preserve">Maker pages cite no studies</w:t>
            </w:r>
          </w:p>
        </w:tc>
      </w:tr>
      <w:tr>
        <w:tc>
          <w:tcPr>
            <w:tcW w:type="dxa" w:w="1900"/>
            <w:tcMar>
              <w:top w:type="dxa" w:w="50"/>
              <w:left w:type="dxa" w:w="70"/>
              <w:bottom w:type="dxa" w:w="50"/>
              <w:right w:type="dxa" w:w="70"/>
            </w:tcMar>
          </w:tcPr>
          <w:p>
            <w:r>
              <w:rPr>
                <w:rFonts w:ascii="Calibri" w:cs="Calibri" w:eastAsia="Calibri" w:hAnsi="Calibri"/>
                <w:b w:val="false"/>
                <w:bCs w:val="false"/>
                <w:sz w:val="15"/>
                <w:szCs w:val="15"/>
              </w:rPr>
              <w:t xml:space="preserve">PODD</w:t>
            </w:r>
          </w:p>
        </w:tc>
        <w:tc>
          <w:tcPr>
            <w:tcW w:type="dxa" w:w="1900"/>
            <w:tcMar>
              <w:top w:type="dxa" w:w="50"/>
              <w:left w:type="dxa" w:w="70"/>
              <w:bottom w:type="dxa" w:w="50"/>
              <w:right w:type="dxa" w:w="70"/>
            </w:tcMar>
          </w:tcPr>
          <w:p>
            <w:r>
              <w:rPr>
                <w:rFonts w:ascii="Calibri" w:cs="Calibri" w:eastAsia="Calibri" w:hAnsi="Calibri"/>
                <w:b w:val="false"/>
                <w:bCs w:val="false"/>
                <w:sz w:val="15"/>
                <w:szCs w:val="15"/>
              </w:rPr>
              <w:t xml:space="preserve">Not reachable (developer's site blocked); 2009 first paper</w:t>
            </w:r>
          </w:p>
        </w:tc>
        <w:tc>
          <w:tcPr>
            <w:tcW w:type="dxa" w:w="2600"/>
            <w:tcMar>
              <w:top w:type="dxa" w:w="50"/>
              <w:left w:type="dxa" w:w="70"/>
              <w:bottom w:type="dxa" w:w="50"/>
              <w:right w:type="dxa" w:w="70"/>
            </w:tcMar>
          </w:tcPr>
          <w:p>
            <w:r>
              <w:rPr>
                <w:rFonts w:ascii="Calibri" w:cs="Calibri" w:eastAsia="Calibri" w:hAnsi="Calibri"/>
                <w:b w:val="false"/>
                <w:bCs w:val="false"/>
                <w:sz w:val="15"/>
                <w:szCs w:val="15"/>
              </w:rPr>
              <w:t xml:space="preserve">2021: interviews with 12 parents about abandonment</w:t>
            </w:r>
          </w:p>
        </w:tc>
        <w:tc>
          <w:tcPr>
            <w:tcW w:type="dxa" w:w="3600"/>
            <w:tcMar>
              <w:top w:type="dxa" w:w="50"/>
              <w:left w:type="dxa" w:w="70"/>
              <w:bottom w:type="dxa" w:w="50"/>
              <w:right w:type="dxa" w:w="70"/>
            </w:tcMar>
          </w:tcPr>
          <w:p>
            <w:r>
              <w:rPr>
                <w:rFonts w:ascii="Calibri" w:cs="Calibri" w:eastAsia="Calibri" w:hAnsi="Calibri"/>
                <w:b w:val="false"/>
                <w:bCs w:val="false"/>
                <w:sz w:val="15"/>
                <w:szCs w:val="15"/>
              </w:rPr>
              <w:t xml:space="preserve">No efficacy study indexed</w:t>
            </w:r>
          </w:p>
        </w:tc>
      </w:tr>
      <w:tr>
        <w:tc>
          <w:tcPr>
            <w:tcW w:type="dxa" w:w="1900"/>
            <w:tcMar>
              <w:top w:type="dxa" w:w="50"/>
              <w:left w:type="dxa" w:w="70"/>
              <w:bottom w:type="dxa" w:w="50"/>
              <w:right w:type="dxa" w:w="70"/>
            </w:tcMar>
          </w:tcPr>
          <w:p>
            <w:r>
              <w:rPr>
                <w:rFonts w:ascii="Calibri" w:cs="Calibri" w:eastAsia="Calibri" w:hAnsi="Calibri"/>
                <w:b w:val="false"/>
                <w:bCs w:val="false"/>
                <w:sz w:val="15"/>
                <w:szCs w:val="15"/>
              </w:rPr>
              <w:t xml:space="preserve">PECS</w:t>
            </w:r>
          </w:p>
        </w:tc>
        <w:tc>
          <w:tcPr>
            <w:tcW w:type="dxa" w:w="1900"/>
            <w:tcMar>
              <w:top w:type="dxa" w:w="50"/>
              <w:left w:type="dxa" w:w="70"/>
              <w:bottom w:type="dxa" w:w="50"/>
              <w:right w:type="dxa" w:w="70"/>
            </w:tcMar>
          </w:tcPr>
          <w:p>
            <w:r>
              <w:rPr>
                <w:rFonts w:ascii="Calibri" w:cs="Calibri" w:eastAsia="Calibri" w:hAnsi="Calibri"/>
                <w:b w:val="false"/>
                <w:bCs w:val="false"/>
                <w:sz w:val="15"/>
                <w:szCs w:val="15"/>
              </w:rPr>
              <w:t xml:space="preserve">1993 to 1994</w:t>
            </w:r>
          </w:p>
        </w:tc>
        <w:tc>
          <w:tcPr>
            <w:tcW w:type="dxa" w:w="2600"/>
            <w:tcMar>
              <w:top w:type="dxa" w:w="50"/>
              <w:left w:type="dxa" w:w="70"/>
              <w:bottom w:type="dxa" w:w="50"/>
              <w:right w:type="dxa" w:w="70"/>
            </w:tcMar>
          </w:tcPr>
          <w:p>
            <w:r>
              <w:rPr>
                <w:rFonts w:ascii="Calibri" w:cs="Calibri" w:eastAsia="Calibri" w:hAnsi="Calibri"/>
                <w:b w:val="false"/>
                <w:bCs w:val="false"/>
                <w:sz w:val="15"/>
                <w:szCs w:val="15"/>
              </w:rPr>
              <w:t xml:space="preserve">2026 Chinese meta-analysis; 2024 review of phase mastery</w:t>
            </w:r>
          </w:p>
        </w:tc>
        <w:tc>
          <w:tcPr>
            <w:tcW w:type="dxa" w:w="3600"/>
            <w:tcMar>
              <w:top w:type="dxa" w:w="50"/>
              <w:left w:type="dxa" w:w="70"/>
              <w:bottom w:type="dxa" w:w="50"/>
              <w:right w:type="dxa" w:w="70"/>
            </w:tcMar>
          </w:tcPr>
          <w:p>
            <w:r>
              <w:rPr>
                <w:rFonts w:ascii="Calibri" w:cs="Calibri" w:eastAsia="Calibri" w:hAnsi="Calibri"/>
                <w:b w:val="false"/>
                <w:bCs w:val="false"/>
                <w:sz w:val="15"/>
                <w:szCs w:val="15"/>
              </w:rPr>
              <w:t xml:space="preserve">2010 US meta-analysis: promising but not established; most learners stop at phase two</w:t>
            </w:r>
          </w:p>
        </w:tc>
      </w:tr>
      <w:tr>
        <w:tc>
          <w:tcPr>
            <w:tcW w:type="dxa" w:w="1900"/>
            <w:tcMar>
              <w:top w:type="dxa" w:w="50"/>
              <w:left w:type="dxa" w:w="70"/>
              <w:bottom w:type="dxa" w:w="50"/>
              <w:right w:type="dxa" w:w="70"/>
            </w:tcMar>
          </w:tcPr>
          <w:p>
            <w:r>
              <w:rPr>
                <w:rFonts w:ascii="Calibri" w:cs="Calibri" w:eastAsia="Calibri" w:hAnsi="Calibri"/>
                <w:b w:val="false"/>
                <w:bCs w:val="false"/>
                <w:sz w:val="15"/>
                <w:szCs w:val="15"/>
              </w:rPr>
              <w:t xml:space="preserve">Aided modelling by the adult</w:t>
            </w:r>
          </w:p>
        </w:tc>
        <w:tc>
          <w:tcPr>
            <w:tcW w:type="dxa" w:w="1900"/>
            <w:tcMar>
              <w:top w:type="dxa" w:w="50"/>
              <w:left w:type="dxa" w:w="70"/>
              <w:bottom w:type="dxa" w:w="50"/>
              <w:right w:type="dxa" w:w="70"/>
            </w:tcMar>
          </w:tcPr>
          <w:p>
            <w:r>
              <w:rPr>
                <w:rFonts w:ascii="Calibri" w:cs="Calibri" w:eastAsia="Calibri" w:hAnsi="Calibri"/>
                <w:b w:val="false"/>
                <w:bCs w:val="false"/>
                <w:sz w:val="15"/>
                <w:szCs w:val="15"/>
              </w:rPr>
              <w:t xml:space="preserve">1989 single case</w:t>
            </w:r>
          </w:p>
        </w:tc>
        <w:tc>
          <w:tcPr>
            <w:tcW w:type="dxa" w:w="2600"/>
            <w:tcMar>
              <w:top w:type="dxa" w:w="50"/>
              <w:left w:type="dxa" w:w="70"/>
              <w:bottom w:type="dxa" w:w="50"/>
              <w:right w:type="dxa" w:w="70"/>
            </w:tcMar>
          </w:tcPr>
          <w:p>
            <w:r>
              <w:rPr>
                <w:rFonts w:ascii="Calibri" w:cs="Calibri" w:eastAsia="Calibri" w:hAnsi="Calibri"/>
                <w:b w:val="false"/>
                <w:bCs w:val="false"/>
                <w:sz w:val="15"/>
                <w:szCs w:val="15"/>
              </w:rPr>
              <w:t xml:space="preserve">2023: six children; 2021 review of 99 designs</w:t>
            </w:r>
          </w:p>
        </w:tc>
        <w:tc>
          <w:tcPr>
            <w:tcW w:type="dxa" w:w="3600"/>
            <w:tcMar>
              <w:top w:type="dxa" w:w="50"/>
              <w:left w:type="dxa" w:w="70"/>
              <w:bottom w:type="dxa" w:w="50"/>
              <w:right w:type="dxa" w:w="70"/>
            </w:tcMar>
          </w:tcPr>
          <w:p>
            <w:r>
              <w:rPr>
                <w:rFonts w:ascii="Calibri" w:cs="Calibri" w:eastAsia="Calibri" w:hAnsi="Calibri"/>
                <w:b w:val="false"/>
                <w:bCs w:val="false"/>
                <w:sz w:val="15"/>
                <w:szCs w:val="15"/>
              </w:rPr>
              <w:t xml:space="preserve">Best supported practice, but inconsistent alone and publication bias flagged</w:t>
            </w:r>
          </w:p>
        </w:tc>
      </w:tr>
      <w:tr>
        <w:tc>
          <w:tcPr>
            <w:tcW w:type="dxa" w:w="1900"/>
            <w:tcMar>
              <w:top w:type="dxa" w:w="50"/>
              <w:left w:type="dxa" w:w="70"/>
              <w:bottom w:type="dxa" w:w="50"/>
              <w:right w:type="dxa" w:w="70"/>
            </w:tcMar>
          </w:tcPr>
          <w:p>
            <w:r>
              <w:rPr>
                <w:rFonts w:ascii="Calibri" w:cs="Calibri" w:eastAsia="Calibri" w:hAnsi="Calibri"/>
                <w:b w:val="false"/>
                <w:bCs w:val="false"/>
                <w:sz w:val="15"/>
                <w:szCs w:val="15"/>
              </w:rPr>
              <w:t xml:space="preserve">Visual scenes versus grids</w:t>
            </w:r>
          </w:p>
        </w:tc>
        <w:tc>
          <w:tcPr>
            <w:tcW w:type="dxa" w:w="1900"/>
            <w:tcMar>
              <w:top w:type="dxa" w:w="50"/>
              <w:left w:type="dxa" w:w="70"/>
              <w:bottom w:type="dxa" w:w="50"/>
              <w:right w:type="dxa" w:w="70"/>
            </w:tcMar>
          </w:tcPr>
          <w:p>
            <w:r>
              <w:rPr>
                <w:rFonts w:ascii="Calibri" w:cs="Calibri" w:eastAsia="Calibri" w:hAnsi="Calibri"/>
                <w:b w:val="false"/>
                <w:bCs w:val="false"/>
                <w:sz w:val="15"/>
                <w:szCs w:val="15"/>
              </w:rPr>
              <w:t xml:space="preserve">2003 to 2004, 30 typical toddlers per study</w:t>
            </w:r>
          </w:p>
        </w:tc>
        <w:tc>
          <w:tcPr>
            <w:tcW w:type="dxa" w:w="2600"/>
            <w:tcMar>
              <w:top w:type="dxa" w:w="50"/>
              <w:left w:type="dxa" w:w="70"/>
              <w:bottom w:type="dxa" w:w="50"/>
              <w:right w:type="dxa" w:w="70"/>
            </w:tcMar>
          </w:tcPr>
          <w:p>
            <w:r>
              <w:rPr>
                <w:rFonts w:ascii="Calibri" w:cs="Calibri" w:eastAsia="Calibri" w:hAnsi="Calibri"/>
                <w:b w:val="false"/>
                <w:bCs w:val="false"/>
                <w:sz w:val="15"/>
                <w:szCs w:val="15"/>
              </w:rPr>
              <w:t xml:space="preserve">2025 and 2026 single-case, 3 to 5 children</w:t>
            </w:r>
          </w:p>
        </w:tc>
        <w:tc>
          <w:tcPr>
            <w:tcW w:type="dxa" w:w="3600"/>
            <w:tcMar>
              <w:top w:type="dxa" w:w="50"/>
              <w:left w:type="dxa" w:w="70"/>
              <w:bottom w:type="dxa" w:w="50"/>
              <w:right w:type="dxa" w:w="70"/>
            </w:tcMar>
          </w:tcPr>
          <w:p>
            <w:r>
              <w:rPr>
                <w:rFonts w:ascii="Calibri" w:cs="Calibri" w:eastAsia="Calibri" w:hAnsi="Calibri"/>
                <w:b w:val="false"/>
                <w:bCs w:val="false"/>
                <w:sz w:val="15"/>
                <w:szCs w:val="15"/>
              </w:rPr>
              <w:t xml:space="preserve">Three other labs found no clear winner</w:t>
            </w:r>
          </w:p>
        </w:tc>
      </w:tr>
      <w:tr>
        <w:tc>
          <w:tcPr>
            <w:tcW w:type="dxa" w:w="1900"/>
            <w:tcMar>
              <w:top w:type="dxa" w:w="50"/>
              <w:left w:type="dxa" w:w="70"/>
              <w:bottom w:type="dxa" w:w="50"/>
              <w:right w:type="dxa" w:w="70"/>
            </w:tcMar>
          </w:tcPr>
          <w:p>
            <w:r>
              <w:rPr>
                <w:rFonts w:ascii="Calibri" w:cs="Calibri" w:eastAsia="Calibri" w:hAnsi="Calibri"/>
                <w:b w:val="false"/>
                <w:bCs w:val="false"/>
                <w:sz w:val="15"/>
                <w:szCs w:val="15"/>
              </w:rPr>
              <w:t xml:space="preserve">Symbols per screen, size, depth</w:t>
            </w:r>
          </w:p>
        </w:tc>
        <w:tc>
          <w:tcPr>
            <w:tcW w:type="dxa" w:w="1900"/>
            <w:tcMar>
              <w:top w:type="dxa" w:w="50"/>
              <w:left w:type="dxa" w:w="70"/>
              <w:bottom w:type="dxa" w:w="50"/>
              <w:right w:type="dxa" w:w="70"/>
            </w:tcMar>
          </w:tcPr>
          <w:p>
            <w:r>
              <w:rPr>
                <w:rFonts w:ascii="Calibri" w:cs="Calibri" w:eastAsia="Calibri" w:hAnsi="Calibri"/>
                <w:b w:val="false"/>
                <w:bCs w:val="false"/>
                <w:sz w:val="15"/>
                <w:szCs w:val="15"/>
              </w:rPr>
              <w:t xml:space="preserve">Never studied directly for children</w:t>
            </w:r>
          </w:p>
        </w:tc>
        <w:tc>
          <w:tcPr>
            <w:tcW w:type="dxa" w:w="2600"/>
            <w:tcMar>
              <w:top w:type="dxa" w:w="50"/>
              <w:left w:type="dxa" w:w="70"/>
              <w:bottom w:type="dxa" w:w="50"/>
              <w:right w:type="dxa" w:w="70"/>
            </w:tcMar>
          </w:tcPr>
          <w:p>
            <w:r>
              <w:rPr>
                <w:rFonts w:ascii="Calibri" w:cs="Calibri" w:eastAsia="Calibri" w:hAnsi="Calibri"/>
                <w:b w:val="false"/>
                <w:bCs w:val="false"/>
                <w:sz w:val="15"/>
                <w:szCs w:val="15"/>
              </w:rPr>
              <w:t xml:space="preserve">2018 (location); adult size studies 2016 and 2026</w:t>
            </w:r>
          </w:p>
        </w:tc>
        <w:tc>
          <w:tcPr>
            <w:tcW w:type="dxa" w:w="3600"/>
            <w:tcMar>
              <w:top w:type="dxa" w:w="50"/>
              <w:left w:type="dxa" w:w="70"/>
              <w:bottom w:type="dxa" w:w="50"/>
              <w:right w:type="dxa" w:w="70"/>
            </w:tcMar>
          </w:tcPr>
          <w:p>
            <w:r>
              <w:rPr>
                <w:rFonts w:ascii="Calibri" w:cs="Calibri" w:eastAsia="Calibri" w:hAnsi="Calibri"/>
                <w:b w:val="false"/>
                <w:bCs w:val="false"/>
                <w:sz w:val="15"/>
                <w:szCs w:val="15"/>
              </w:rPr>
              <w:t xml:space="preserve">Child studies used 12 to 16 cell arrays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What the record shows, system by system.</w:t>
      </w:r>
    </w:p>
    <w:p>
      <w:pPr>
        <w:pStyle w:val="ListParagraph"/>
        <w:numPr>
          <w:ilvl w:val="0"/>
          <w:numId w:val="2"/>
        </w:numPr>
        <w:spacing w:after="80"/>
      </w:pPr>
      <w:r>
        <w:rPr>
          <w:rFonts w:ascii="Calibri" w:cs="Calibri" w:eastAsia="Calibri" w:hAnsi="Calibri"/>
          <w:sz w:val="22"/>
          <w:szCs w:val="22"/>
        </w:rPr>
        <w:t xml:space="preserve">Minspeak and Unity. PRC's own timeline: Bruce Baker's Minspeak in 1982, a federal grant in 1993, Unity launched 1995, and the intellectual property bought by PRC-Saltillo in 2020. The Minspeak page lists its principles (multi-meaning symbols, symbol families, motor planning, core words) and cites nothing. In the National Library of Medicine the term returns three papers: adults' associations with icons, a single preschooler, and a Thai system. The two studies of iconic encoding with children, 2004 and 2010, used typically developing four- and five-year-olds; the 2010 abstract opens by saying the method “has previously been shown to be challenging for young children to learn to use.”</w:t>
      </w:r>
    </w:p>
    <w:p>
      <w:pPr>
        <w:pStyle w:val="ListParagraph"/>
        <w:numPr>
          <w:ilvl w:val="0"/>
          <w:numId w:val="2"/>
        </w:numPr>
        <w:spacing w:after="80"/>
      </w:pPr>
      <w:r>
        <w:rPr>
          <w:rFonts w:ascii="Calibri" w:cs="Calibri" w:eastAsia="Calibri" w:hAnsi="Calibri"/>
          <w:sz w:val="22"/>
          <w:szCs w:val="22"/>
        </w:rPr>
        <w:t xml:space="preserve">PCS. Tobii Dynavox says only “over 30 years.” The child studies of how recognizable the symbols are come from South Africa: ten-year-olds recognized 2.8 percent to 11.1 percent of symbols on a standard overlay (2002), six-year-olds 12.5 percent (2005). A 2015 Penn State study of forty toddlers found symbols drawn from children's own ideas beat PCS. No US study tests how well elementary children read PCS on a real device screen.</w:t>
      </w:r>
    </w:p>
    <w:p>
      <w:pPr>
        <w:pStyle w:val="ListParagraph"/>
        <w:numPr>
          <w:ilvl w:val="0"/>
          <w:numId w:val="2"/>
        </w:numPr>
        <w:spacing w:after="80"/>
      </w:pPr>
      <w:r>
        <w:rPr>
          <w:rFonts w:ascii="Calibri" w:cs="Calibri" w:eastAsia="Calibri" w:hAnsi="Calibri"/>
          <w:sz w:val="22"/>
          <w:szCs w:val="22"/>
        </w:rPr>
        <w:t xml:space="preserve">Core vocabulary. The foundation is five nonspeaking adults over fourteen days in 1984, in which 500 core words covered 80 percent of words but only a third of whole messages. The preschool lists from 1994 and 2003 could only be seen as citations because their journal is blocked. Since 2020 three studies, one from Penn State, argue that frequency lists leave out the words toddlers actually say first and can produce “limited and variable lexicons with wide gaps.” WordPower, Unity, LAMP, Core First and Crescendo all say they are built on core vocabulary and none cites a study.</w:t>
      </w:r>
    </w:p>
    <w:p>
      <w:pPr>
        <w:pStyle w:val="ListParagraph"/>
        <w:numPr>
          <w:ilvl w:val="0"/>
          <w:numId w:val="2"/>
        </w:numPr>
        <w:spacing w:after="80"/>
      </w:pPr>
      <w:r>
        <w:rPr>
          <w:rFonts w:ascii="Calibri" w:cs="Calibri" w:eastAsia="Calibri" w:hAnsi="Calibri"/>
          <w:sz w:val="22"/>
          <w:szCs w:val="22"/>
        </w:rPr>
        <w:t xml:space="preserve">LAMP. Workshops in 2007, app in 2012, per PRC. The LAMP site calls it “a therapeutic approach based on neurological and motor learning principles” and “science-backed,” with no citation on any page read. The National Library of Medicine holds no study of LAMP. The nearest evidence is a 2018 study in which 24 preschoolers without disabilities found a symbol faster by the fifth session when it stayed in the same place, and several adult studies of icon size and location.</w:t>
      </w:r>
    </w:p>
    <w:p>
      <w:pPr>
        <w:pStyle w:val="ListParagraph"/>
        <w:numPr>
          <w:ilvl w:val="0"/>
          <w:numId w:val="2"/>
        </w:numPr>
        <w:spacing w:after="80"/>
      </w:pPr>
      <w:r>
        <w:rPr>
          <w:rFonts w:ascii="Calibri" w:cs="Calibri" w:eastAsia="Calibri" w:hAnsi="Calibri"/>
          <w:sz w:val="22"/>
          <w:szCs w:val="22"/>
        </w:rPr>
        <w:t xml:space="preserve">Visual scenes versus grids. The 2003 paper says in its abstract that current systems are “largely based on conceptual models of adults who are not disabled” and that dynamic display design “appears to be inappropriate for very young children.” That rests on thirty typically developing two-year-olds, ten per layout, twelve words, four sessions. The group has kept publishing through 2026, but with three to nine children per study. The 2019 state-of-the-science review from the same authors gives only two grid rules with research support for children: spatial cues, and clustering symbols by their own colour; background colour may distract.</w:t>
      </w:r>
    </w:p>
    <w:p>
      <w:pPr>
        <w:pStyle w:val="ListParagraph"/>
        <w:numPr>
          <w:ilvl w:val="0"/>
          <w:numId w:val="2"/>
        </w:numPr>
        <w:spacing w:after="80"/>
      </w:pPr>
      <w:r>
        <w:rPr>
          <w:rFonts w:ascii="Calibri" w:cs="Calibri" w:eastAsia="Calibri" w:hAnsi="Calibri"/>
          <w:sz w:val="22"/>
          <w:szCs w:val="22"/>
        </w:rPr>
        <w:t xml:space="preserve">Aided modelling. The practice of an adult using the child's system while talking has the most consistent support: a 2018 meta-analysis of 88 single-case participants and 103 group participants found it highly effective. A 2021 review of 99 designs found it inconsistent on its own and twice as likely to show positive results in journals as in dissertations.</w:t>
      </w:r>
    </w:p>
    <w:p>
      <w:pPr>
        <w:spacing w:after="100"/>
      </w:pPr>
      <w:r>
        <w:rPr>
          <w:rFonts w:ascii="Calibri" w:cs="Calibri" w:eastAsia="Calibri" w:hAnsi="Calibri"/>
          <w:color w:val="6B6459"/>
          <w:sz w:val="18"/>
          <w:szCs w:val="18"/>
        </w:rPr>
        <w:t xml:space="preserve">Working file: aac-design-research.md. Journals blocked from here: the AAC journal (Taylor and Francis), ASHA publications, SAGE, Wiley, Cochrane. Seven foundational papers were reachable only as citations in other papers' reference lists and are marked so.</w:t>
      </w:r>
    </w:p>
    <w:p>
      <w:pPr>
        <w:pStyle w:val="Heading1"/>
        <w:spacing w:after="120" w:before="320"/>
      </w:pPr>
      <w:r>
        <w:rPr>
          <w:rFonts w:ascii="Calibri" w:cs="Calibri" w:eastAsia="Calibri" w:hAnsi="Calibri"/>
        </w:rPr>
        <w:t xml:space="preserve">4. What the outcome studies show</w:t>
      </w:r>
    </w:p>
    <w:p>
      <w:pPr>
        <w:pStyle w:val="Heading2"/>
        <w:spacing w:after="100" w:before="240"/>
      </w:pPr>
      <w:r>
        <w:rPr>
          <w:rFonts w:ascii="Calibri" w:cs="Calibri" w:eastAsia="Calibri" w:hAnsi="Calibri"/>
        </w:rPr>
        <w:t xml:space="preserve">The reviews</w:t>
      </w:r>
    </w:p>
    <w:p>
      <w:pPr>
        <w:pStyle w:val="ListParagraph"/>
        <w:numPr>
          <w:ilvl w:val="0"/>
          <w:numId w:val="2"/>
        </w:numPr>
        <w:spacing w:after="80"/>
      </w:pPr>
      <w:r>
        <w:rPr>
          <w:rFonts w:ascii="Calibri" w:cs="Calibri" w:eastAsia="Calibri" w:hAnsi="Calibri"/>
          <w:sz w:val="22"/>
          <w:szCs w:val="22"/>
        </w:rPr>
        <w:t xml:space="preserve">Ganz 2012, 24 single-case studies of aided AAC in autism: large effects on targeted behaviour, with the effect falling by age band, 0.86 preschool, 0.70 elementary, 0.64 secondary (figures as reported in a 2016 review of reviews). Ganz 2014: “small to moderate effects on speech outcomes” and “no difference between systems for elementary-aged and older individuals.”</w:t>
      </w:r>
    </w:p>
    <w:p>
      <w:pPr>
        <w:pStyle w:val="ListParagraph"/>
        <w:numPr>
          <w:ilvl w:val="0"/>
          <w:numId w:val="2"/>
        </w:numPr>
        <w:spacing w:after="80"/>
      </w:pPr>
      <w:r>
        <w:rPr>
          <w:rFonts w:ascii="Calibri" w:cs="Calibri" w:eastAsia="Calibri" w:hAnsi="Calibri"/>
          <w:sz w:val="22"/>
          <w:szCs w:val="22"/>
        </w:rPr>
        <w:t xml:space="preserve">Schlosser and Wendt 2008, 27 single-subject and 98 group participants: AAC does not impede speech; gains “rather modest.” Millar, Light and Schlosser 2006: of 27 best-evidence cases, none lost speech, 11 percent no change, 89 percent gained, mostly modest.</w:t>
      </w:r>
    </w:p>
    <w:p>
      <w:pPr>
        <w:pStyle w:val="ListParagraph"/>
        <w:numPr>
          <w:ilvl w:val="0"/>
          <w:numId w:val="2"/>
        </w:numPr>
        <w:spacing w:after="80"/>
      </w:pPr>
      <w:r>
        <w:rPr>
          <w:rFonts w:ascii="Calibri" w:cs="Calibri" w:eastAsia="Calibri" w:hAnsi="Calibri"/>
          <w:sz w:val="22"/>
          <w:szCs w:val="22"/>
        </w:rPr>
        <w:t xml:space="preserve">Iacono 2016, a review of 17 systematic reviews: “Communication targets tended to be focused on teaching children to make requests.” The National Autism Center rated AAC as emerging, not established, in both of its reports. “Promises that AAC can support ongoing language development have yet to be demonstrated convincingly for children with autism.”</w:t>
      </w:r>
    </w:p>
    <w:p>
      <w:pPr>
        <w:pStyle w:val="ListParagraph"/>
        <w:numPr>
          <w:ilvl w:val="0"/>
          <w:numId w:val="2"/>
        </w:numPr>
        <w:spacing w:after="80"/>
      </w:pPr>
      <w:r>
        <w:rPr>
          <w:rFonts w:ascii="Calibri" w:cs="Calibri" w:eastAsia="Calibri" w:hAnsi="Calibri"/>
          <w:sz w:val="22"/>
          <w:szCs w:val="22"/>
        </w:rPr>
        <w:t xml:space="preserve">Cochrane 2018, minimally verbal children under 12: only two randomized trials qualified in all the literature to November 2017. Quality of evidence rated “very low.” The PECS trial's gains were “not maintained 10 months later.”</w:t>
      </w:r>
    </w:p>
    <w:p>
      <w:pPr>
        <w:pStyle w:val="ListParagraph"/>
        <w:numPr>
          <w:ilvl w:val="0"/>
          <w:numId w:val="2"/>
        </w:numPr>
        <w:spacing w:after="80"/>
      </w:pPr>
      <w:r>
        <w:rPr>
          <w:rFonts w:ascii="Calibri" w:cs="Calibri" w:eastAsia="Calibri" w:hAnsi="Calibri"/>
          <w:sz w:val="22"/>
          <w:szCs w:val="22"/>
        </w:rPr>
        <w:t xml:space="preserve">Holyfield 2017, adolescents and adults with autism: AAC benefits them, but “more research is urgently needed,” and most studies target requesting.</w:t>
      </w:r>
    </w:p>
    <w:p>
      <w:pPr>
        <w:pStyle w:val="Heading2"/>
        <w:spacing w:after="100" w:before="240"/>
      </w:pPr>
      <w:r>
        <w:rPr>
          <w:rFonts w:ascii="Calibri" w:cs="Calibri" w:eastAsia="Calibri" w:hAnsi="Calibri"/>
        </w:rPr>
        <w:t xml:space="preserve">The one strong device trial</w:t>
      </w:r>
    </w:p>
    <w:p>
      <w:pPr>
        <w:spacing w:after="120"/>
      </w:pPr>
      <w:r>
        <w:rPr>
          <w:rFonts w:ascii="Calibri" w:cs="Calibri" w:eastAsia="Calibri" w:hAnsi="Calibri"/>
          <w:sz w:val="22"/>
          <w:szCs w:val="22"/>
        </w:rPr>
        <w:t xml:space="preserve">Kasari and colleagues, 2014: 61 minimally verbal autistic children aged five to eight, randomized to a play and language intervention with or without a speech-generating device. At 24 weeks the device group produced 61.9 spontaneous communicative utterances against 40.3 without, effect size 0.62. By 36 weeks the effect had attenuated. Attrition reached 25 percent by follow-up, and the trial enrolled 61 of a planned 97. The 2025 community trial by the same group, 194 children delivered in schools, did not test a device. Two smaller randomized trials (35 and 29 children) and a 2018 review found no significant difference between a device and picture cards.</w:t>
      </w:r>
    </w:p>
    <w:p>
      <w:pPr>
        <w:pStyle w:val="Heading2"/>
        <w:spacing w:after="100" w:before="240"/>
      </w:pPr>
      <w:r>
        <w:rPr>
          <w:rFonts w:ascii="Calibri" w:cs="Calibri" w:eastAsia="Calibri" w:hAnsi="Calibri"/>
        </w:rPr>
        <w:t xml:space="preserve">Abandonment and non-use</w:t>
      </w:r>
    </w:p>
    <w:p>
      <w:pPr>
        <w:pStyle w:val="ListParagraph"/>
        <w:numPr>
          <w:ilvl w:val="0"/>
          <w:numId w:val="2"/>
        </w:numPr>
        <w:spacing w:after="80"/>
      </w:pPr>
      <w:r>
        <w:rPr>
          <w:rFonts w:ascii="Calibri" w:cs="Calibri" w:eastAsia="Calibri" w:hAnsi="Calibri"/>
          <w:sz w:val="22"/>
          <w:szCs w:val="22"/>
        </w:rPr>
        <w:t xml:space="preserve">The “about a third” figure traces to Phillips and Zhao 1993: 29.3 percent of devices abandoned among 227 adults across all assistive technology. The AAC-specific papers (275 SLPs surveyed in 2006; 16 SLPs interviewed in 2019) give reasons, not rates: lack of training, lack of support, poor fit, systems not maintained, parent grief.</w:t>
      </w:r>
    </w:p>
    <w:p>
      <w:pPr>
        <w:pStyle w:val="ListParagraph"/>
        <w:numPr>
          <w:ilvl w:val="0"/>
          <w:numId w:val="2"/>
        </w:numPr>
        <w:spacing w:after="80"/>
      </w:pPr>
      <w:r>
        <w:rPr>
          <w:rFonts w:ascii="Calibri" w:cs="Calibri" w:eastAsia="Calibri" w:hAnsi="Calibri"/>
          <w:sz w:val="22"/>
          <w:szCs w:val="22"/>
        </w:rPr>
        <w:t xml:space="preserve">Children: in a UK cohort of young people with cerebral palsy aged 16 to 18, 75 percent of recorded AAC recipients did not use it at home, only at school. Twenty-three elementary students observed for 117 hours had about 17 opportunities to respond per hour and lacked their AAC system in nearly half of them. Over 4,000 teachers reporting on 15,643 students rated more than half of AAC users as not proficient. A Canadian survey found only 38 percent of children with cerebral palsy who needed AAC used it, mostly to make choices.</w:t>
      </w:r>
    </w:p>
    <w:p>
      <w:pPr>
        <w:pStyle w:val="ListParagraph"/>
        <w:numPr>
          <w:ilvl w:val="0"/>
          <w:numId w:val="2"/>
        </w:numPr>
        <w:spacing w:after="80"/>
      </w:pPr>
      <w:r>
        <w:rPr>
          <w:rFonts w:ascii="Calibri" w:cs="Calibri" w:eastAsia="Calibri" w:hAnsi="Calibri"/>
          <w:sz w:val="22"/>
          <w:szCs w:val="22"/>
        </w:rPr>
        <w:t xml:space="preserve">No study measures how many school-issued speech devices are abandoned, by whom, or when. The only long-term outcome studies are seven young men (Lund and Light 2006) and eight adults (Hamm and Mirenda 2006), and the first opens by saying “there are no data on the long-term outcomes of AAC interventions.” Nothing found since overturns that. No peer-reviewed source uses the term device fatigue or measures declining use over years in the same children.</w:t>
      </w:r>
    </w:p>
    <w:p>
      <w:pPr>
        <w:pStyle w:val="Heading2"/>
        <w:spacing w:after="100" w:before="240"/>
      </w:pPr>
      <w:r>
        <w:rPr>
          <w:rFonts w:ascii="Calibri" w:cs="Calibri" w:eastAsia="Calibri" w:hAnsi="Calibri"/>
        </w:rPr>
        <w:t xml:space="preserve">The federal view</w:t>
      </w:r>
    </w:p>
    <w:p>
      <w:pPr>
        <w:spacing w:after="120"/>
      </w:pPr>
      <w:r>
        <w:rPr>
          <w:rFonts w:ascii="Calibri" w:cs="Calibri" w:eastAsia="Calibri" w:hAnsi="Calibri"/>
          <w:sz w:val="22"/>
          <w:szCs w:val="22"/>
        </w:rPr>
        <w:t xml:space="preserve">The What Works Clearinghouse has no intervention report on AAC or speech-generating devices. Its only device reviews are four preschool studies; the one randomized trial among them meets its standards and shows no statistically significant positive finding on the standardized outcome. There is no federal dataset of devices issued to students. About 25 to 30 percent of autistic children remain minimally verbal into school age, and in a 246-child cohort more than half of those who entered early intervention minimally verbal left it the same way; the definition of minimally verbal ranges from under 5 to under 30 words depending on the study.</w:t>
      </w:r>
    </w:p>
    <w:p>
      <w:pPr>
        <w:spacing w:after="100"/>
      </w:pPr>
      <w:r>
        <w:rPr>
          <w:rFonts w:ascii="Calibri" w:cs="Calibri" w:eastAsia="Calibri" w:hAnsi="Calibri"/>
          <w:color w:val="6B6459"/>
          <w:sz w:val="18"/>
          <w:szCs w:val="18"/>
        </w:rPr>
        <w:t xml:space="preserve">Working file: aac-outcomes.md, about sixty abstracts and seven full texts, every number copied from its source.</w:t>
      </w:r>
    </w:p>
    <w:p>
      <w:pPr>
        <w:pStyle w:val="Heading1"/>
        <w:spacing w:after="120" w:before="320"/>
      </w:pPr>
      <w:r>
        <w:rPr>
          <w:rFonts w:ascii="Calibri" w:cs="Calibri" w:eastAsia="Calibri" w:hAnsi="Calibri"/>
        </w:rPr>
        <w:t xml:space="preserve">5. The pipeline and the money</w:t>
      </w:r>
    </w:p>
    <w:p>
      <w:pPr>
        <w:pStyle w:val="Heading2"/>
        <w:spacing w:after="100" w:before="240"/>
      </w:pPr>
      <w:r>
        <w:rPr>
          <w:rFonts w:ascii="Calibri" w:cs="Calibri" w:eastAsia="Calibri" w:hAnsi="Calibri"/>
        </w:rPr>
        <w:t xml:space="preserve">Medicare and Medicaid</w:t>
      </w:r>
    </w:p>
    <w:p>
      <w:pPr>
        <w:spacing w:after="120"/>
      </w:pPr>
      <w:r>
        <w:rPr>
          <w:rFonts w:ascii="Calibri" w:cs="Calibri" w:eastAsia="Calibri" w:hAnsi="Calibri"/>
          <w:sz w:val="22"/>
          <w:szCs w:val="22"/>
        </w:rPr>
        <w:t xml:space="preserve">A speech-generating device is durable medical equipment. Medicare's national coverage rule (2015) covers devices or software that generate speech for a person with a severe speech impairment, and says in its own words: “Computers and tablets are generally not considered DME because they are useful in the absence of an illness or injury.” The local rule that covers Florida requires an SLP's written evaluation, a severe expressive impairment, a finding that natural methods cannot meet the need, other treatments ruled out, a treating practitioner's order, and that the evaluating SLP “may not be an employee of or have a financial relationship with the supplier.”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400"/>
        <w:gridCol w:w="2800"/>
      </w:tblGrid>
      <w:tr>
        <w:tc>
          <w:tcPr>
            <w:tcW w:type="dxa" w:w="1400"/>
            <w:shd w:fill="E8E3DA" w:color="auto" w:val="clear"/>
            <w:tcMar>
              <w:top w:type="dxa" w:w="50"/>
              <w:left w:type="dxa" w:w="70"/>
              <w:bottom w:type="dxa" w:w="50"/>
              <w:right w:type="dxa" w:w="70"/>
            </w:tcMar>
          </w:tcPr>
          <w:p>
            <w:r>
              <w:rPr>
                <w:rFonts w:ascii="Calibri" w:cs="Calibri" w:eastAsia="Calibri" w:hAnsi="Calibri"/>
                <w:b/>
                <w:bCs/>
                <w:sz w:val="16"/>
                <w:szCs w:val="16"/>
              </w:rPr>
              <w:t xml:space="preserve">Code</w:t>
            </w:r>
          </w:p>
        </w:tc>
        <w:tc>
          <w:tcPr>
            <w:tcW w:type="dxa" w:w="3400"/>
            <w:shd w:fill="E8E3DA" w:color="auto" w:val="clear"/>
            <w:tcMar>
              <w:top w:type="dxa" w:w="50"/>
              <w:left w:type="dxa" w:w="70"/>
              <w:bottom w:type="dxa" w:w="50"/>
              <w:right w:type="dxa" w:w="70"/>
            </w:tcMar>
          </w:tcPr>
          <w:p>
            <w:r>
              <w:rPr>
                <w:rFonts w:ascii="Calibri" w:cs="Calibri" w:eastAsia="Calibri" w:hAnsi="Calibri"/>
                <w:b/>
                <w:bCs/>
                <w:sz w:val="16"/>
                <w:szCs w:val="16"/>
              </w:rPr>
              <w:t xml:space="preserve">What it is</w:t>
            </w:r>
          </w:p>
        </w:tc>
        <w:tc>
          <w:tcPr>
            <w:tcW w:type="dxa" w:w="2400"/>
            <w:shd w:fill="E8E3DA" w:color="auto" w:val="clear"/>
            <w:tcMar>
              <w:top w:type="dxa" w:w="50"/>
              <w:left w:type="dxa" w:w="70"/>
              <w:bottom w:type="dxa" w:w="50"/>
              <w:right w:type="dxa" w:w="70"/>
            </w:tcMar>
          </w:tcPr>
          <w:p>
            <w:r>
              <w:rPr>
                <w:rFonts w:ascii="Calibri" w:cs="Calibri" w:eastAsia="Calibri" w:hAnsi="Calibri"/>
                <w:b/>
                <w:bCs/>
                <w:sz w:val="16"/>
                <w:szCs w:val="16"/>
              </w:rPr>
              <w:t xml:space="preserve">Medicare, Florida (purchase)</w:t>
            </w:r>
          </w:p>
        </w:tc>
        <w:tc>
          <w:tcPr>
            <w:tcW w:type="dxa" w:w="2800"/>
            <w:shd w:fill="E8E3DA" w:color="auto" w:val="clear"/>
            <w:tcMar>
              <w:top w:type="dxa" w:w="50"/>
              <w:left w:type="dxa" w:w="70"/>
              <w:bottom w:type="dxa" w:w="50"/>
              <w:right w:type="dxa" w:w="70"/>
            </w:tcMar>
          </w:tcPr>
          <w:p>
            <w:r>
              <w:rPr>
                <w:rFonts w:ascii="Calibri" w:cs="Calibri" w:eastAsia="Calibri" w:hAnsi="Calibri"/>
                <w:b/>
                <w:bCs/>
                <w:sz w:val="16"/>
                <w:szCs w:val="16"/>
              </w:rPr>
              <w:t xml:space="preserve">Florida Medicaid maximum</w:t>
            </w:r>
          </w:p>
        </w:tc>
      </w:tr>
      <w:tr>
        <w:tc>
          <w:tcPr>
            <w:tcW w:type="dxa" w:w="1400"/>
            <w:tcMar>
              <w:top w:type="dxa" w:w="50"/>
              <w:left w:type="dxa" w:w="70"/>
              <w:bottom w:type="dxa" w:w="50"/>
              <w:right w:type="dxa" w:w="70"/>
            </w:tcMar>
          </w:tcPr>
          <w:p>
            <w:r>
              <w:rPr>
                <w:rFonts w:ascii="Calibri" w:cs="Calibri" w:eastAsia="Calibri" w:hAnsi="Calibri"/>
                <w:b w:val="false"/>
                <w:bCs w:val="false"/>
                <w:sz w:val="16"/>
                <w:szCs w:val="16"/>
              </w:rPr>
              <w:t xml:space="preserve">E2500 to E2506</w:t>
            </w:r>
          </w:p>
        </w:tc>
        <w:tc>
          <w:tcPr>
            <w:tcW w:type="dxa" w:w="3400"/>
            <w:tcMar>
              <w:top w:type="dxa" w:w="50"/>
              <w:left w:type="dxa" w:w="70"/>
              <w:bottom w:type="dxa" w:w="50"/>
              <w:right w:type="dxa" w:w="70"/>
            </w:tcMar>
          </w:tcPr>
          <w:p>
            <w:r>
              <w:rPr>
                <w:rFonts w:ascii="Calibri" w:cs="Calibri" w:eastAsia="Calibri" w:hAnsi="Calibri"/>
                <w:b w:val="false"/>
                <w:bCs w:val="false"/>
                <w:sz w:val="16"/>
                <w:szCs w:val="16"/>
              </w:rPr>
              <w:t xml:space="preserve">Digitized speech, recorded messages</w:t>
            </w:r>
          </w:p>
        </w:tc>
        <w:tc>
          <w:tcPr>
            <w:tcW w:type="dxa" w:w="2400"/>
            <w:tcMar>
              <w:top w:type="dxa" w:w="50"/>
              <w:left w:type="dxa" w:w="70"/>
              <w:bottom w:type="dxa" w:w="50"/>
              <w:right w:type="dxa" w:w="70"/>
            </w:tcMar>
          </w:tcPr>
          <w:p>
            <w:r>
              <w:rPr>
                <w:rFonts w:ascii="Calibri" w:cs="Calibri" w:eastAsia="Calibri" w:hAnsi="Calibri"/>
                <w:b w:val="false"/>
                <w:bCs w:val="false"/>
                <w:sz w:val="16"/>
                <w:szCs w:val="16"/>
              </w:rPr>
              <w:t xml:space="preserve">$557.30 to $3,296.27</w:t>
            </w:r>
          </w:p>
        </w:tc>
        <w:tc>
          <w:tcPr>
            <w:tcW w:type="dxa" w:w="2800"/>
            <w:tcMar>
              <w:top w:type="dxa" w:w="50"/>
              <w:left w:type="dxa" w:w="70"/>
              <w:bottom w:type="dxa" w:w="50"/>
              <w:right w:type="dxa" w:w="70"/>
            </w:tcMar>
          </w:tcPr>
          <w:p>
            <w:r>
              <w:rPr>
                <w:rFonts w:ascii="Calibri" w:cs="Calibri" w:eastAsia="Calibri" w:hAnsi="Calibri"/>
                <w:b w:val="false"/>
                <w:bCs w:val="false"/>
                <w:sz w:val="16"/>
                <w:szCs w:val="16"/>
              </w:rPr>
              <w:t xml:space="preserve">$360.56 to $2,132.62</w:t>
            </w:r>
          </w:p>
        </w:tc>
      </w:tr>
      <w:tr>
        <w:tc>
          <w:tcPr>
            <w:tcW w:type="dxa" w:w="1400"/>
            <w:tcMar>
              <w:top w:type="dxa" w:w="50"/>
              <w:left w:type="dxa" w:w="70"/>
              <w:bottom w:type="dxa" w:w="50"/>
              <w:right w:type="dxa" w:w="70"/>
            </w:tcMar>
          </w:tcPr>
          <w:p>
            <w:r>
              <w:rPr>
                <w:rFonts w:ascii="Calibri" w:cs="Calibri" w:eastAsia="Calibri" w:hAnsi="Calibri"/>
                <w:b w:val="false"/>
                <w:bCs w:val="false"/>
                <w:sz w:val="16"/>
                <w:szCs w:val="16"/>
              </w:rPr>
              <w:t xml:space="preserve">E2508</w:t>
            </w:r>
          </w:p>
        </w:tc>
        <w:tc>
          <w:tcPr>
            <w:tcW w:type="dxa" w:w="3400"/>
            <w:tcMar>
              <w:top w:type="dxa" w:w="50"/>
              <w:left w:type="dxa" w:w="70"/>
              <w:bottom w:type="dxa" w:w="50"/>
              <w:right w:type="dxa" w:w="70"/>
            </w:tcMar>
          </w:tcPr>
          <w:p>
            <w:r>
              <w:rPr>
                <w:rFonts w:ascii="Calibri" w:cs="Calibri" w:eastAsia="Calibri" w:hAnsi="Calibri"/>
                <w:b w:val="false"/>
                <w:bCs w:val="false"/>
                <w:sz w:val="16"/>
                <w:szCs w:val="16"/>
              </w:rPr>
              <w:t xml:space="preserve">Synthesized speech, spelling access</w:t>
            </w:r>
          </w:p>
        </w:tc>
        <w:tc>
          <w:tcPr>
            <w:tcW w:type="dxa" w:w="2400"/>
            <w:tcMar>
              <w:top w:type="dxa" w:w="50"/>
              <w:left w:type="dxa" w:w="70"/>
              <w:bottom w:type="dxa" w:w="50"/>
              <w:right w:type="dxa" w:w="70"/>
            </w:tcMar>
          </w:tcPr>
          <w:p>
            <w:r>
              <w:rPr>
                <w:rFonts w:ascii="Calibri" w:cs="Calibri" w:eastAsia="Calibri" w:hAnsi="Calibri"/>
                <w:b w:val="false"/>
                <w:bCs w:val="false"/>
                <w:sz w:val="16"/>
                <w:szCs w:val="16"/>
              </w:rPr>
              <w:t xml:space="preserve">$5,097.15</w:t>
            </w:r>
          </w:p>
        </w:tc>
        <w:tc>
          <w:tcPr>
            <w:tcW w:type="dxa" w:w="2800"/>
            <w:tcMar>
              <w:top w:type="dxa" w:w="50"/>
              <w:left w:type="dxa" w:w="70"/>
              <w:bottom w:type="dxa" w:w="50"/>
              <w:right w:type="dxa" w:w="70"/>
            </w:tcMar>
          </w:tcPr>
          <w:p>
            <w:r>
              <w:rPr>
                <w:rFonts w:ascii="Calibri" w:cs="Calibri" w:eastAsia="Calibri" w:hAnsi="Calibri"/>
                <w:b w:val="false"/>
                <w:bCs w:val="false"/>
                <w:sz w:val="16"/>
                <w:szCs w:val="16"/>
              </w:rPr>
              <w:t xml:space="preserve">$3,297.74</w:t>
            </w:r>
          </w:p>
        </w:tc>
      </w:tr>
      <w:tr>
        <w:tc>
          <w:tcPr>
            <w:tcW w:type="dxa" w:w="1400"/>
            <w:tcMar>
              <w:top w:type="dxa" w:w="50"/>
              <w:left w:type="dxa" w:w="70"/>
              <w:bottom w:type="dxa" w:w="50"/>
              <w:right w:type="dxa" w:w="70"/>
            </w:tcMar>
          </w:tcPr>
          <w:p>
            <w:r>
              <w:rPr>
                <w:rFonts w:ascii="Calibri" w:cs="Calibri" w:eastAsia="Calibri" w:hAnsi="Calibri"/>
                <w:b w:val="false"/>
                <w:bCs w:val="false"/>
                <w:sz w:val="16"/>
                <w:szCs w:val="16"/>
              </w:rPr>
              <w:t xml:space="preserve">E2510</w:t>
            </w:r>
          </w:p>
        </w:tc>
        <w:tc>
          <w:tcPr>
            <w:tcW w:type="dxa" w:w="3400"/>
            <w:tcMar>
              <w:top w:type="dxa" w:w="50"/>
              <w:left w:type="dxa" w:w="70"/>
              <w:bottom w:type="dxa" w:w="50"/>
              <w:right w:type="dxa" w:w="70"/>
            </w:tcMar>
          </w:tcPr>
          <w:p>
            <w:r>
              <w:rPr>
                <w:rFonts w:ascii="Calibri" w:cs="Calibri" w:eastAsia="Calibri" w:hAnsi="Calibri"/>
                <w:b w:val="false"/>
                <w:bCs w:val="false"/>
                <w:sz w:val="16"/>
                <w:szCs w:val="16"/>
              </w:rPr>
              <w:t xml:space="preserve">Synthesized speech, multiple access methods (the Accent and I-Series class)</w:t>
            </w:r>
          </w:p>
        </w:tc>
        <w:tc>
          <w:tcPr>
            <w:tcW w:type="dxa" w:w="2400"/>
            <w:tcMar>
              <w:top w:type="dxa" w:w="50"/>
              <w:left w:type="dxa" w:w="70"/>
              <w:bottom w:type="dxa" w:w="50"/>
              <w:right w:type="dxa" w:w="70"/>
            </w:tcMar>
          </w:tcPr>
          <w:p>
            <w:r>
              <w:rPr>
                <w:rFonts w:ascii="Calibri" w:cs="Calibri" w:eastAsia="Calibri" w:hAnsi="Calibri"/>
                <w:b w:val="false"/>
                <w:bCs w:val="false"/>
                <w:sz w:val="16"/>
                <w:szCs w:val="16"/>
              </w:rPr>
              <w:t xml:space="preserve">$9,645.69</w:t>
            </w:r>
          </w:p>
        </w:tc>
        <w:tc>
          <w:tcPr>
            <w:tcW w:type="dxa" w:w="2800"/>
            <w:tcMar>
              <w:top w:type="dxa" w:w="50"/>
              <w:left w:type="dxa" w:w="70"/>
              <w:bottom w:type="dxa" w:w="50"/>
              <w:right w:type="dxa" w:w="70"/>
            </w:tcMar>
          </w:tcPr>
          <w:p>
            <w:r>
              <w:rPr>
                <w:rFonts w:ascii="Calibri" w:cs="Calibri" w:eastAsia="Calibri" w:hAnsi="Calibri"/>
                <w:b w:val="false"/>
                <w:bCs w:val="false"/>
                <w:sz w:val="16"/>
                <w:szCs w:val="16"/>
              </w:rPr>
              <w:t xml:space="preserve">$6,240.51</w:t>
            </w:r>
          </w:p>
        </w:tc>
      </w:tr>
      <w:tr>
        <w:tc>
          <w:tcPr>
            <w:tcW w:type="dxa" w:w="1400"/>
            <w:tcMar>
              <w:top w:type="dxa" w:w="50"/>
              <w:left w:type="dxa" w:w="70"/>
              <w:bottom w:type="dxa" w:w="50"/>
              <w:right w:type="dxa" w:w="70"/>
            </w:tcMar>
          </w:tcPr>
          <w:p>
            <w:r>
              <w:rPr>
                <w:rFonts w:ascii="Calibri" w:cs="Calibri" w:eastAsia="Calibri" w:hAnsi="Calibri"/>
                <w:b w:val="false"/>
                <w:bCs w:val="false"/>
                <w:sz w:val="16"/>
                <w:szCs w:val="16"/>
              </w:rPr>
              <w:t xml:space="preserve">E2511</w:t>
            </w:r>
          </w:p>
        </w:tc>
        <w:tc>
          <w:tcPr>
            <w:tcW w:type="dxa" w:w="3400"/>
            <w:tcMar>
              <w:top w:type="dxa" w:w="50"/>
              <w:left w:type="dxa" w:w="70"/>
              <w:bottom w:type="dxa" w:w="50"/>
              <w:right w:type="dxa" w:w="70"/>
            </w:tcMar>
          </w:tcPr>
          <w:p>
            <w:r>
              <w:rPr>
                <w:rFonts w:ascii="Calibri" w:cs="Calibri" w:eastAsia="Calibri" w:hAnsi="Calibri"/>
                <w:b w:val="false"/>
                <w:bCs w:val="false"/>
                <w:sz w:val="16"/>
                <w:szCs w:val="16"/>
              </w:rPr>
              <w:t xml:space="preserve">Speech-generating software for a computer</w:t>
            </w:r>
          </w:p>
        </w:tc>
        <w:tc>
          <w:tcPr>
            <w:tcW w:type="dxa" w:w="2400"/>
            <w:tcMar>
              <w:top w:type="dxa" w:w="50"/>
              <w:left w:type="dxa" w:w="70"/>
              <w:bottom w:type="dxa" w:w="50"/>
              <w:right w:type="dxa" w:w="70"/>
            </w:tcMar>
          </w:tcPr>
          <w:p>
            <w:r>
              <w:rPr>
                <w:rFonts w:ascii="Calibri" w:cs="Calibri" w:eastAsia="Calibri" w:hAnsi="Calibri"/>
                <w:b w:val="false"/>
                <w:bCs w:val="false"/>
                <w:sz w:val="16"/>
                <w:szCs w:val="16"/>
              </w:rPr>
              <w:t xml:space="preserve">$0.00 in the fee file</w:t>
            </w:r>
          </w:p>
        </w:tc>
        <w:tc>
          <w:tcPr>
            <w:tcW w:type="dxa" w:w="2800"/>
            <w:tcMar>
              <w:top w:type="dxa" w:w="50"/>
              <w:left w:type="dxa" w:w="70"/>
              <w:bottom w:type="dxa" w:w="50"/>
              <w:right w:type="dxa" w:w="70"/>
            </w:tcMar>
          </w:tcPr>
          <w:p>
            <w:r>
              <w:rPr>
                <w:rFonts w:ascii="Calibri" w:cs="Calibri" w:eastAsia="Calibri" w:hAnsi="Calibri"/>
                <w:b w:val="false"/>
                <w:bCs w:val="false"/>
                <w:sz w:val="16"/>
                <w:szCs w:val="16"/>
              </w:rPr>
              <w:t xml:space="preserve">Manually priced, negotiated case by case</w:t>
            </w:r>
          </w:p>
        </w:tc>
      </w:tr>
      <w:tr>
        <w:tc>
          <w:tcPr>
            <w:tcW w:type="dxa" w:w="1400"/>
            <w:tcMar>
              <w:top w:type="dxa" w:w="50"/>
              <w:left w:type="dxa" w:w="70"/>
              <w:bottom w:type="dxa" w:w="50"/>
              <w:right w:type="dxa" w:w="70"/>
            </w:tcMar>
          </w:tcPr>
          <w:p>
            <w:r>
              <w:rPr>
                <w:rFonts w:ascii="Calibri" w:cs="Calibri" w:eastAsia="Calibri" w:hAnsi="Calibri"/>
                <w:b w:val="false"/>
                <w:bCs w:val="false"/>
                <w:sz w:val="16"/>
                <w:szCs w:val="16"/>
              </w:rPr>
              <w:t xml:space="preserve">E2512</w:t>
            </w:r>
          </w:p>
        </w:tc>
        <w:tc>
          <w:tcPr>
            <w:tcW w:type="dxa" w:w="3400"/>
            <w:tcMar>
              <w:top w:type="dxa" w:w="50"/>
              <w:left w:type="dxa" w:w="70"/>
              <w:bottom w:type="dxa" w:w="50"/>
              <w:right w:type="dxa" w:w="70"/>
            </w:tcMar>
          </w:tcPr>
          <w:p>
            <w:r>
              <w:rPr>
                <w:rFonts w:ascii="Calibri" w:cs="Calibri" w:eastAsia="Calibri" w:hAnsi="Calibri"/>
                <w:b w:val="false"/>
                <w:bCs w:val="false"/>
                <w:sz w:val="16"/>
                <w:szCs w:val="16"/>
              </w:rPr>
              <w:t xml:space="preserve">Mounting system</w:t>
            </w:r>
          </w:p>
        </w:tc>
        <w:tc>
          <w:tcPr>
            <w:tcW w:type="dxa" w:w="2400"/>
            <w:tcMar>
              <w:top w:type="dxa" w:w="50"/>
              <w:left w:type="dxa" w:w="70"/>
              <w:bottom w:type="dxa" w:w="50"/>
              <w:right w:type="dxa" w:w="70"/>
            </w:tcMar>
          </w:tcPr>
          <w:p>
            <w:r>
              <w:rPr>
                <w:rFonts w:ascii="Calibri" w:cs="Calibri" w:eastAsia="Calibri" w:hAnsi="Calibri"/>
                <w:b w:val="false"/>
                <w:bCs w:val="false"/>
                <w:sz w:val="16"/>
                <w:szCs w:val="16"/>
              </w:rPr>
              <w:t xml:space="preserve">$0.00 in the fee file</w:t>
            </w:r>
          </w:p>
        </w:tc>
        <w:tc>
          <w:tcPr>
            <w:tcW w:type="dxa" w:w="2800"/>
            <w:tcMar>
              <w:top w:type="dxa" w:w="50"/>
              <w:left w:type="dxa" w:w="70"/>
              <w:bottom w:type="dxa" w:w="50"/>
              <w:right w:type="dxa" w:w="70"/>
            </w:tcMar>
          </w:tcPr>
          <w:p>
            <w:r>
              <w:rPr>
                <w:rFonts w:ascii="Calibri" w:cs="Calibri" w:eastAsia="Calibri" w:hAnsi="Calibri"/>
                <w:b w:val="false"/>
                <w:bCs w:val="false"/>
                <w:sz w:val="16"/>
                <w:szCs w:val="16"/>
              </w:rPr>
              <w:t xml:space="preserve">Manually priced</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Florida Medicaid requires prior authorization on every code, one device per five years, and its policy excludes “computers, tablets, smartphones, or other general computing devices.” The evaluation must come from a licensed SLP with an individualized action plan, trial data, and signatures from the school team where the child is in school. Sources: CMS July 2026 fee file and coverage rules; Florida AHCA fee schedule of 1 July 2026 and Rule 59G-4.072.</w:t>
      </w:r>
    </w:p>
    <w:p>
      <w:pPr>
        <w:pStyle w:val="Heading2"/>
        <w:spacing w:after="100" w:before="240"/>
      </w:pPr>
      <w:r>
        <w:rPr>
          <w:rFonts w:ascii="Calibri" w:cs="Calibri" w:eastAsia="Calibri" w:hAnsi="Calibri"/>
        </w:rPr>
        <w:t xml:space="preserve">The school's obligation</w:t>
      </w:r>
    </w:p>
    <w:p>
      <w:pPr>
        <w:spacing w:after="120"/>
      </w:pPr>
      <w:r>
        <w:rPr>
          <w:rFonts w:ascii="Calibri" w:cs="Calibri" w:eastAsia="Calibri" w:hAnsi="Calibri"/>
          <w:sz w:val="22"/>
          <w:szCs w:val="22"/>
        </w:rPr>
        <w:t xml:space="preserve">Under IDEA, as written in federal regulation, assistive technology devices and services must be “made available to a child with a disability if required as a part of the child's” IEP, “at public expense, under public supervision and direction, and without charge.” Medicaid's financial responsibility “must precede” the district's where Medicaid is obligated, but the district may not delay the IEP while payment is sorted out. Home use of “school-purchased” devices is required case by case when the IEP team decides the child needs it. The regulation says nothing about who owns the device when the child leaves.</w:t>
      </w:r>
    </w:p>
    <w:p>
      <w:pPr>
        <w:spacing w:after="120"/>
      </w:pPr>
      <w:r>
        <w:rPr>
          <w:rFonts w:ascii="Calibri" w:cs="Calibri" w:eastAsia="Calibri" w:hAnsi="Calibri"/>
          <w:sz w:val="22"/>
          <w:szCs w:val="22"/>
        </w:rPr>
        <w:t xml:space="preserve">In Florida the district can bill Medicaid, federal share only, for the school SLP's work: $102.63 for an AAC evaluation once per five years, $52.63 for a re-evaluation, $42.11 per training visit up to eight a year. The device itself is obtained and billed by a DME provider and delivered to the child's home, and the school team may have no financial relationship with the manufacturer.</w:t>
      </w:r>
    </w:p>
    <w:p>
      <w:pPr>
        <w:pStyle w:val="Heading2"/>
        <w:spacing w:after="100" w:before="240"/>
      </w:pPr>
      <w:r>
        <w:rPr>
          <w:rFonts w:ascii="Calibri" w:cs="Calibri" w:eastAsia="Calibri" w:hAnsi="Calibri"/>
        </w:rPr>
        <w:t xml:space="preserve">What the makers say</w:t>
      </w:r>
    </w:p>
    <w:p>
      <w:pPr>
        <w:pStyle w:val="ListParagraph"/>
        <w:numPr>
          <w:ilvl w:val="0"/>
          <w:numId w:val="2"/>
        </w:numPr>
        <w:spacing w:after="80"/>
      </w:pPr>
      <w:r>
        <w:rPr>
          <w:rFonts w:ascii="Calibri" w:cs="Calibri" w:eastAsia="Calibri" w:hAnsi="Calibri"/>
          <w:sz w:val="22"/>
          <w:szCs w:val="22"/>
        </w:rPr>
        <w:t xml:space="preserve">Tobii Dynavox's funding page: an SLP evaluation is required for every application, a physician prescribes after a visit, the packet takes 30 to 60 days, trials run up to four weeks, the evaluation must be under six months old, and “most funding sources are in agreement that a speech device should last for at least 5 years.” Nothing on the page describes a school purchase order.</w:t>
      </w:r>
    </w:p>
    <w:p>
      <w:pPr>
        <w:pStyle w:val="ListParagraph"/>
        <w:numPr>
          <w:ilvl w:val="0"/>
          <w:numId w:val="2"/>
        </w:numPr>
        <w:spacing w:after="80"/>
      </w:pPr>
      <w:r>
        <w:rPr>
          <w:rFonts w:ascii="Calibri" w:cs="Calibri" w:eastAsia="Calibri" w:hAnsi="Calibri"/>
          <w:sz w:val="22"/>
          <w:szCs w:val="22"/>
        </w:rPr>
        <w:t xml:space="preserve">PRC-Saltillo's funding and product pages serve no text to anything but a browser; its app sites say only that it helps SLPs build a submission packet for Medicare, Medicaid or insurance. Its funding site, Forbes AAC, AbleNet and Talk To Me are blocked from here.</w:t>
      </w:r>
    </w:p>
    <w:p>
      <w:pPr>
        <w:pStyle w:val="ListParagraph"/>
        <w:numPr>
          <w:ilvl w:val="0"/>
          <w:numId w:val="2"/>
        </w:numPr>
        <w:spacing w:after="80"/>
      </w:pPr>
      <w:r>
        <w:rPr>
          <w:rFonts w:ascii="Calibri" w:cs="Calibri" w:eastAsia="Calibri" w:hAnsi="Calibri"/>
          <w:sz w:val="22"/>
          <w:szCs w:val="22"/>
        </w:rPr>
        <w:t xml:space="preserve">AssistiveWare sends insurance and Medicaid cases to AbleNet, and sells Proloquo school licenses direct at $99.99 per student-year up to $499.99 for five years, noting that “subscription purchases are not possible in Apple School Manager.”</w:t>
      </w:r>
    </w:p>
    <w:p>
      <w:pPr>
        <w:pStyle w:val="Heading2"/>
        <w:spacing w:after="100" w:before="240"/>
      </w:pPr>
      <w:r>
        <w:rPr>
          <w:rFonts w:ascii="Calibri" w:cs="Calibri" w:eastAsia="Calibri" w:hAnsi="Calibri"/>
        </w:rPr>
        <w:t xml:space="preserve">Apple's education pricing</w:t>
      </w:r>
    </w:p>
    <w:p>
      <w:pPr>
        <w:spacing w:after="120"/>
      </w:pPr>
      <w:r>
        <w:rPr>
          <w:rFonts w:ascii="Calibri" w:cs="Calibri" w:eastAsia="Calibri" w:hAnsi="Calibri"/>
          <w:sz w:val="22"/>
          <w:szCs w:val="22"/>
        </w:rPr>
        <w:t xml:space="preserve">Apple's school-facing guide promises “special pricing for 20 or more copies” for K-12 organizations. The percentage is on the developer side: a developer can “enable a 50% discount for educational institutions that purchase 20 or more copies,” and opts in or out at will. LAMP's own FAQ says it participates. Whether Proloquo2Go or TouchChat do is not stated on any maker page.</w:t>
      </w:r>
    </w:p>
    <w:p>
      <w:pPr>
        <w:pStyle w:val="Heading2"/>
        <w:spacing w:after="100" w:before="240"/>
      </w:pPr>
      <w:r>
        <w:rPr>
          <w:rFonts w:ascii="Calibri" w:cs="Calibri" w:eastAsia="Calibri" w:hAnsi="Calibri"/>
        </w:rPr>
        <w:t xml:space="preserve">Florida device loans</w:t>
      </w:r>
    </w:p>
    <w:p>
      <w:pPr>
        <w:spacing w:after="120"/>
      </w:pPr>
      <w:r>
        <w:rPr>
          <w:rFonts w:ascii="Calibri" w:cs="Calibri" w:eastAsia="Calibri" w:hAnsi="Calibri"/>
          <w:sz w:val="22"/>
          <w:szCs w:val="22"/>
        </w:rPr>
        <w:t xml:space="preserve">FAAST, the state's assistive technology program, lends devices at no cost to Florida residents from a library with “hundreds of devices,” demonstrates them without a prescription, and reports that in 2020 the most demonstrated category was speech and communication. FDLRS and the state's rule site were blocked.</w:t>
      </w:r>
    </w:p>
    <w:p>
      <w:pPr>
        <w:spacing w:after="100"/>
      </w:pPr>
      <w:r>
        <w:rPr>
          <w:rFonts w:ascii="Calibri" w:cs="Calibri" w:eastAsia="Calibri" w:hAnsi="Calibri"/>
          <w:color w:val="6B6459"/>
          <w:sz w:val="18"/>
          <w:szCs w:val="18"/>
        </w:rPr>
        <w:t xml:space="preserve">Working file: aac-funding.md. Rule text quoted from cms.gov, ahca.myflorida.com and ecfr.gov.</w:t>
      </w:r>
    </w:p>
    <w:p>
      <w:pPr>
        <w:pStyle w:val="Heading1"/>
        <w:spacing w:after="120" w:before="320"/>
      </w:pPr>
      <w:r>
        <w:rPr>
          <w:rFonts w:ascii="Calibri" w:cs="Calibri" w:eastAsia="Calibri" w:hAnsi="Calibri"/>
        </w:rPr>
        <w:t xml:space="preserve">6. What was blocked, and what to open</w:t>
      </w:r>
    </w:p>
    <w:p>
      <w:pPr>
        <w:spacing w:after="120"/>
      </w:pPr>
      <w:r>
        <w:rPr>
          <w:rFonts w:ascii="Calibri" w:cs="Calibri" w:eastAsia="Calibri" w:hAnsi="Calibri"/>
          <w:sz w:val="22"/>
          <w:szCs w:val="22"/>
        </w:rPr>
        <w:t xml:space="preserve">These would not answer from the environment, either because they are not on the allow list or because they refuse anything that is not a browser. Each is listed with what it would add.</w:t>
      </w:r>
    </w:p>
    <w:p>
      <w:pPr>
        <w:pStyle w:val="ListParagraph"/>
        <w:numPr>
          <w:ilvl w:val="0"/>
          <w:numId w:val="2"/>
        </w:numPr>
        <w:spacing w:after="80"/>
      </w:pPr>
      <w:r>
        <w:rPr>
          <w:rFonts w:ascii="Calibri" w:cs="Calibri" w:eastAsia="Calibri" w:hAnsi="Calibri"/>
          <w:sz w:val="22"/>
          <w:szCs w:val="22"/>
        </w:rPr>
        <w:t xml:space="preserve">The AAC journal at tandfonline.com, ASHA publications at pubs.asha.org, SAGE, Wiley and the Cochrane Library: the full text of the foundational papers. Seven were read only as citations. These sites block scripts; a person with a library login would need to pull them.</w:t>
      </w:r>
    </w:p>
    <w:p>
      <w:pPr>
        <w:pStyle w:val="ListParagraph"/>
        <w:numPr>
          <w:ilvl w:val="0"/>
          <w:numId w:val="2"/>
        </w:numPr>
        <w:spacing w:after="80"/>
      </w:pPr>
      <w:r>
        <w:rPr>
          <w:rFonts w:ascii="Calibri" w:cs="Calibri" w:eastAsia="Calibri" w:hAnsi="Calibri"/>
          <w:sz w:val="22"/>
          <w:szCs w:val="22"/>
        </w:rPr>
        <w:t xml:space="preserve">aacinstitute.org, aacandautism.com (the LAMP center), cpec.org.au (PODD), pecsusa.com, minspeak.com (captcha): the developers' own evidence pages, if any exist.</w:t>
      </w:r>
    </w:p>
    <w:p>
      <w:pPr>
        <w:pStyle w:val="ListParagraph"/>
        <w:numPr>
          <w:ilvl w:val="0"/>
          <w:numId w:val="2"/>
        </w:numPr>
        <w:spacing w:after="80"/>
      </w:pPr>
      <w:r>
        <w:rPr>
          <w:rFonts w:ascii="Calibri" w:cs="Calibri" w:eastAsia="Calibri" w:hAnsi="Calibri"/>
          <w:sz w:val="22"/>
          <w:szCs w:val="22"/>
        </w:rPr>
        <w:t xml:space="preserve">aacfunding.com, forbesaac.com, ablenetinc.com, talktometechnologies.com, fdlrs.org, flrules.org, ncaep.fpg.unc.edu: vendor funding terms, Florida's loan program, and the national autism evidence report. Add to the allow list to read.</w:t>
      </w:r>
    </w:p>
    <w:p>
      <w:pPr>
        <w:pStyle w:val="ListParagraph"/>
        <w:numPr>
          <w:ilvl w:val="0"/>
          <w:numId w:val="2"/>
        </w:numPr>
        <w:spacing w:after="80"/>
      </w:pPr>
      <w:r>
        <w:rPr>
          <w:rFonts w:ascii="Calibri" w:cs="Calibri" w:eastAsia="Calibri" w:hAnsi="Calibri"/>
          <w:sz w:val="22"/>
          <w:szCs w:val="22"/>
        </w:rPr>
        <w:t xml:space="preserve">PRC-Saltillo's product and store pages serve nothing but a menu to anything but a browser, so Accent and NovaChat prices remain unread.</w:t>
      </w:r>
    </w:p>
    <w:p>
      <w:pPr>
        <w:pStyle w:val="Heading1"/>
        <w:spacing w:after="120" w:before="320"/>
      </w:pPr>
      <w:r>
        <w:rPr>
          <w:rFonts w:ascii="Calibri" w:cs="Calibri" w:eastAsia="Calibri" w:hAnsi="Calibri"/>
        </w:rPr>
        <w:t xml:space="preserve">7. What this means, and the younger-kids question</w:t>
      </w:r>
    </w:p>
    <w:p>
      <w:pPr>
        <w:spacing w:after="120"/>
      </w:pPr>
      <w:r>
        <w:rPr>
          <w:rFonts w:ascii="Calibri" w:cs="Calibri" w:eastAsia="Calibri" w:hAnsi="Calibri"/>
          <w:sz w:val="22"/>
          <w:szCs w:val="22"/>
        </w:rPr>
        <w:t xml:space="preserve">This section is my reading of the evidence above. Where it is an opinion it says so.</w:t>
      </w:r>
    </w:p>
    <w:p>
      <w:pPr>
        <w:pStyle w:val="ListParagraph"/>
        <w:numPr>
          <w:ilvl w:val="0"/>
          <w:numId w:val="2"/>
        </w:numPr>
        <w:spacing w:after="80"/>
      </w:pPr>
      <w:r>
        <w:rPr>
          <w:rFonts w:ascii="Calibri" w:cs="Calibri" w:eastAsia="Calibri" w:hAnsi="Calibri"/>
          <w:sz w:val="22"/>
          <w:szCs w:val="22"/>
        </w:rPr>
        <w:t xml:space="preserve">The products are maintained, not rethought. Every major app shipped in 2026, but the changes are voices, AI helpers and regional word lists on top of layouts fixed in 2009 to 2012, on top of design ideas from 1982 to 2003. Two makers did rebuild: GoTalk NOW in May 2026 and Avaz in 2024. The two market leaders by price, Proloquo2Go and LAMP, changed least.</w:t>
      </w:r>
    </w:p>
    <w:p>
      <w:pPr>
        <w:pStyle w:val="ListParagraph"/>
        <w:numPr>
          <w:ilvl w:val="0"/>
          <w:numId w:val="2"/>
        </w:numPr>
        <w:spacing w:after="80"/>
      </w:pPr>
      <w:r>
        <w:rPr>
          <w:rFonts w:ascii="Calibri" w:cs="Calibri" w:eastAsia="Calibri" w:hAnsi="Calibri"/>
          <w:sz w:val="22"/>
          <w:szCs w:val="22"/>
        </w:rPr>
        <w:t xml:space="preserve">The design basis was mostly tested on children who did not need it. The grid critique, the encoding studies, the colour and location studies, the core-word lists: typically developing preschoolers, ten to thirty per study. Studies with children who use AAC are single-case designs of three to nine. That is not a criticism of the researchers; it is the state of the field, stated by the field's own 2019 review.</w:t>
      </w:r>
    </w:p>
    <w:p>
      <w:pPr>
        <w:pStyle w:val="ListParagraph"/>
        <w:numPr>
          <w:ilvl w:val="0"/>
          <w:numId w:val="2"/>
        </w:numPr>
        <w:spacing w:after="80"/>
      </w:pPr>
      <w:r>
        <w:rPr>
          <w:rFonts w:ascii="Calibri" w:cs="Calibri" w:eastAsia="Calibri" w:hAnsi="Calibri"/>
          <w:sz w:val="22"/>
          <w:szCs w:val="22"/>
        </w:rPr>
        <w:t xml:space="preserve">Nobody measures what happens after the device is issued. There is no rate of abandonment for school devices, no follow-up beyond months, and the two long-term studies are fifteen people in total. The closest measurements say most devices stay at school, students often do not have them when they need them, and teachers rate most users as not proficient. Frank's observation about LAMP fatigue on Evan's device is consistent with all of that and is contradicted by nothing, because nothing has been measured.</w:t>
      </w:r>
    </w:p>
    <w:p>
      <w:pPr>
        <w:pStyle w:val="ListParagraph"/>
        <w:numPr>
          <w:ilvl w:val="0"/>
          <w:numId w:val="2"/>
        </w:numPr>
        <w:spacing w:after="80"/>
      </w:pPr>
      <w:r>
        <w:rPr>
          <w:rFonts w:ascii="Calibri" w:cs="Calibri" w:eastAsia="Calibri" w:hAnsi="Calibri"/>
          <w:sz w:val="22"/>
          <w:szCs w:val="22"/>
        </w:rPr>
        <w:t xml:space="preserve">The money explains the stillness. A dedicated device carries a $6,000 to $9,600 allowable, one per five years, behind an SLP evaluation and a prescription, and the makers say it should last five years. A product built to that pipeline has no reason to change quickly. The app makers sit outside it at $150 to $300 and sell to districts, which is the same room EZvoxa Pro is walking into.</w:t>
      </w:r>
    </w:p>
    <w:p>
      <w:pPr>
        <w:pStyle w:val="ListParagraph"/>
        <w:numPr>
          <w:ilvl w:val="0"/>
          <w:numId w:val="2"/>
        </w:numPr>
        <w:spacing w:after="80"/>
      </w:pPr>
      <w:r>
        <w:rPr>
          <w:rFonts w:ascii="Calibri" w:cs="Calibri" w:eastAsia="Calibri" w:hAnsi="Calibri"/>
          <w:sz w:val="22"/>
          <w:szCs w:val="22"/>
        </w:rPr>
        <w:t xml:space="preserve">On studying the younger children: yes, and the study is cheap because the gap is so wide. What is missing is not another twenty-child lab study. It is a count, in one district, of how many issued devices are in daily use one year and three years on, by grade, and why the rest are not. No such count exists anywhere in the literature read here. A district that would run that count with EZvoxa Pro in the same classrooms would produce the first evidence of its kind. That is the ILP conversation, and it is an argument a director can follow.</w:t>
      </w:r>
    </w:p>
    <w:p>
      <w:pPr>
        <w:pStyle w:val="ListParagraph"/>
        <w:numPr>
          <w:ilvl w:val="0"/>
          <w:numId w:val="2"/>
        </w:numPr>
        <w:spacing w:after="80"/>
      </w:pPr>
      <w:r>
        <w:rPr>
          <w:rFonts w:ascii="Calibri" w:cs="Calibri" w:eastAsia="Calibri" w:hAnsi="Calibri"/>
          <w:sz w:val="22"/>
          <w:szCs w:val="22"/>
        </w:rPr>
        <w:t xml:space="preserve">What not to claim. Nothing here shows that EZvoxa outperforms these products; nothing has been compared. What it shows is that the incumbents' claims are also unmeasured, and that the field's own reviewers say so. The honest position for the corporate page is the one already on it: the students changed and the tools did not, with the dates to prove it.</w:t>
      </w:r>
    </w:p>
    <w:p>
      <w:pPr>
        <w:pStyle w:val="Heading1"/>
        <w:spacing w:after="120" w:before="320"/>
      </w:pPr>
      <w:r>
        <w:rPr>
          <w:rFonts w:ascii="Calibri" w:cs="Calibri" w:eastAsia="Calibri" w:hAnsi="Calibri"/>
        </w:rPr>
        <w:t xml:space="preserve">8. Sources</w:t>
      </w:r>
    </w:p>
    <w:p>
      <w:pPr>
        <w:spacing w:after="120"/>
      </w:pPr>
      <w:r>
        <w:rPr>
          <w:rFonts w:ascii="Calibri" w:cs="Calibri" w:eastAsia="Calibri" w:hAnsi="Calibri"/>
          <w:sz w:val="22"/>
          <w:szCs w:val="22"/>
        </w:rPr>
        <w:t xml:space="preserve">Every claim above carries its URL in the four working files. The main ones: apps.apple.com listings and Apple's lookup service for release dates, versions and prices; prc-saltillo.com, assistiveware.com, tobiidynavox.com, thinksmartbox.com, avazapp.com, attainmentcompany.com (archived copy), speakforyourself.org, lampwflapp.com, touchchatapp.com; pubmed.ncbi.nlm.nih.gov and PMC full texts through the National Library of Medicine; ies.ed.gov What Works Clearinghouse; cms.gov coverage database, HCPCS file and July 2026 fee schedule; ahca.myflorida.com fee schedules, Rule 59G-4.072, the speech-language policy and the Certified School Match handbook; ecfr.gov Title 34 Part 300; support.apple.com and developer.apple.com; faast.org; rerc-aac.psu.edu and aac.psu.edu.</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2026-09-09T08:06:02.909Z</dcterms:created>
  <dcterms:modified xsi:type="dcterms:W3CDTF">2026-09-09T08:06:02.917Z</dcterms:modified>
</cp:coreProperties>
</file>

<file path=docProps/custom.xml><?xml version="1.0" encoding="utf-8"?>
<Properties xmlns="http://schemas.openxmlformats.org/officeDocument/2006/custom-properties" xmlns:vt="http://schemas.openxmlformats.org/officeDocument/2006/docPropsVTypes"/>
</file>