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EZvoxa: Trademark and Copyright Filing Guide</w:t>
      </w:r>
    </w:p>
    <w:p>
      <w:pPr>
        <w:spacing w:after="120"/>
      </w:pPr>
      <w:r>
        <w:rPr>
          <w:rFonts w:ascii="Calibri" w:cs="Calibri" w:eastAsia="Calibri" w:hAnsi="Calibri"/>
          <w:color w:val="6B6459"/>
          <w:sz w:val="22"/>
          <w:szCs w:val="22"/>
        </w:rPr>
        <w:t xml:space="preserve">For Frank Schaeffer, EZ Voice LLC. Prepared 10 September 2026. Every dollar figure in the trademark section was read that morning from the United States Patent and Trademark Office fee page (uspto.gov, fee schedule in force since January 18, 2025). Copyright fees are marked unverified because copyright.gov could not be reached; they will be filled in when it can. Screen labels marked "from memory" were not re-read from the site.</w:t>
      </w:r>
    </w:p>
    <w:p>
      <w:pPr>
        <w:pStyle w:val="Heading1"/>
        <w:spacing w:after="120" w:before="320"/>
      </w:pPr>
      <w:r>
        <w:rPr>
          <w:rFonts w:ascii="Calibri" w:cs="Calibri" w:eastAsia="Calibri" w:hAnsi="Calibri"/>
        </w:rPr>
        <w:t xml:space="preserve">1. The short version</w:t>
      </w:r>
    </w:p>
    <w:p>
      <w:pPr>
        <w:pStyle w:val="ListParagraph"/>
        <w:numPr>
          <w:ilvl w:val="0"/>
          <w:numId w:val="2"/>
        </w:numPr>
        <w:spacing w:after="80"/>
      </w:pPr>
      <w:r>
        <w:rPr>
          <w:rFonts w:ascii="Calibri" w:cs="Calibri" w:eastAsia="Calibri" w:hAnsi="Calibri"/>
          <w:sz w:val="22"/>
          <w:szCs w:val="22"/>
        </w:rPr>
        <w:t xml:space="preserve">File one trademark application for the word EZVOXA, owned by EZ Voice LLC, in two classes: 009 (downloadable software, the store apps) and 042 (software provided online, the web app). Cost today: $700. One class only: $350.</w:t>
      </w:r>
    </w:p>
    <w:p>
      <w:pPr>
        <w:pStyle w:val="ListParagraph"/>
        <w:numPr>
          <w:ilvl w:val="0"/>
          <w:numId w:val="2"/>
        </w:numPr>
        <w:spacing w:after="80"/>
      </w:pPr>
      <w:r>
        <w:rPr>
          <w:rFonts w:ascii="Calibri" w:cs="Calibri" w:eastAsia="Calibri" w:hAnsi="Calibri"/>
          <w:sz w:val="22"/>
          <w:szCs w:val="22"/>
        </w:rPr>
        <w:t xml:space="preserve">File it as intent to use, because nothing is on sale yet. When the first sale happens, file the statement of use: $150 per class.</w:t>
      </w:r>
    </w:p>
    <w:p>
      <w:pPr>
        <w:pStyle w:val="ListParagraph"/>
        <w:numPr>
          <w:ilvl w:val="0"/>
          <w:numId w:val="2"/>
        </w:numPr>
        <w:spacing w:after="80"/>
      </w:pPr>
      <w:r>
        <w:rPr>
          <w:rFonts w:ascii="Calibri" w:cs="Calibri" w:eastAsia="Calibri" w:hAnsi="Calibri"/>
          <w:sz w:val="22"/>
          <w:szCs w:val="22"/>
        </w:rPr>
        <w:t xml:space="preserve">Before paying, search the register for EZVOXA and EZ VOICE at tmsearch.uspto.gov. That search could not be run from Claude’s environment; it takes two minutes on your phone.</w:t>
      </w:r>
    </w:p>
    <w:p>
      <w:pPr>
        <w:pStyle w:val="ListParagraph"/>
        <w:numPr>
          <w:ilvl w:val="0"/>
          <w:numId w:val="2"/>
        </w:numPr>
        <w:spacing w:after="80"/>
      </w:pPr>
      <w:r>
        <w:rPr>
          <w:rFonts w:ascii="Calibri" w:cs="Calibri" w:eastAsia="Calibri" w:hAnsi="Calibri"/>
          <w:sz w:val="22"/>
          <w:szCs w:val="22"/>
        </w:rPr>
        <w:t xml:space="preserve">Register the copyright in the app as a computer program, and separately the neon icon set as artwork, both owned by EZ Voice LLC. Fees unverified until copyright.gov is opened. This is cheap and it is what lets you enforce ownership, which the sole-source letter to districts rests on.</w:t>
      </w:r>
    </w:p>
    <w:p>
      <w:pPr>
        <w:pStyle w:val="ListParagraph"/>
        <w:numPr>
          <w:ilvl w:val="0"/>
          <w:numId w:val="2"/>
        </w:numPr>
        <w:spacing w:after="80"/>
      </w:pPr>
      <w:r>
        <w:rPr>
          <w:rFonts w:ascii="Calibri" w:cs="Calibri" w:eastAsia="Calibri" w:hAnsi="Calibri"/>
          <w:sz w:val="22"/>
          <w:szCs w:val="22"/>
        </w:rPr>
        <w:t xml:space="preserve">Do the trademark first. It costs real money and it has a clock. The copyright exists the moment the work is made; registering it can wait a week, not a year.</w:t>
      </w:r>
    </w:p>
    <w:p>
      <w:pPr>
        <w:pStyle w:val="Heading1"/>
        <w:spacing w:after="120" w:before="320"/>
      </w:pPr>
      <w:r>
        <w:rPr>
          <w:rFonts w:ascii="Calibri" w:cs="Calibri" w:eastAsia="Calibri" w:hAnsi="Calibri"/>
        </w:rPr>
        <w:t xml:space="preserve">2. Trademark: what it protects and what to file</w:t>
      </w:r>
    </w:p>
    <w:p>
      <w:pPr>
        <w:spacing w:after="120"/>
      </w:pPr>
      <w:r>
        <w:rPr>
          <w:rFonts w:ascii="Calibri" w:cs="Calibri" w:eastAsia="Calibri" w:hAnsi="Calibri"/>
          <w:sz w:val="22"/>
          <w:szCs w:val="22"/>
        </w:rPr>
        <w:t xml:space="preserve">A trademark protects the name as a brand: nobody else can sell communication software called EZvoxa or something confusingly close. It does not protect the app itself; that is copyright, section 4.</w:t>
      </w:r>
    </w:p>
    <w:p>
      <w:pPr>
        <w:pStyle w:val="Heading2"/>
        <w:spacing w:after="100" w:before="240"/>
      </w:pPr>
      <w:r>
        <w:rPr>
          <w:rFonts w:ascii="Calibri" w:cs="Calibri" w:eastAsia="Calibri" w:hAnsi="Calibri"/>
        </w:rPr>
        <w:t xml:space="preserve">The mark</w:t>
      </w:r>
    </w:p>
    <w:p>
      <w:pPr>
        <w:pStyle w:val="ListParagraph"/>
        <w:numPr>
          <w:ilvl w:val="0"/>
          <w:numId w:val="2"/>
        </w:numPr>
        <w:spacing w:after="80"/>
      </w:pPr>
      <w:r>
        <w:rPr>
          <w:rFonts w:ascii="Calibri" w:cs="Calibri" w:eastAsia="Calibri" w:hAnsi="Calibri"/>
          <w:sz w:val="22"/>
          <w:szCs w:val="22"/>
        </w:rPr>
        <w:t xml:space="preserve">Word mark, standard characters: EZVOXA. A standard character mark covers the word in any font, color or logo. File the logo separately later if you ever want to; the word is what matters.</w:t>
      </w:r>
    </w:p>
    <w:p>
      <w:pPr>
        <w:pStyle w:val="ListParagraph"/>
        <w:numPr>
          <w:ilvl w:val="0"/>
          <w:numId w:val="2"/>
        </w:numPr>
        <w:spacing w:after="80"/>
      </w:pPr>
      <w:r>
        <w:rPr>
          <w:rFonts w:ascii="Calibri" w:cs="Calibri" w:eastAsia="Calibri" w:hAnsi="Calibri"/>
          <w:sz w:val="22"/>
          <w:szCs w:val="22"/>
        </w:rPr>
        <w:t xml:space="preserve">Owner: EZ Voice LLC, Florida, with the LLC’s address. Not you personally. A mark owned by a person who then licenses it to his own company is an avoidable mess.</w:t>
      </w:r>
    </w:p>
    <w:p>
      <w:pPr>
        <w:pStyle w:val="Heading2"/>
        <w:spacing w:after="100" w:before="240"/>
      </w:pPr>
      <w:r>
        <w:rPr>
          <w:rFonts w:ascii="Calibri" w:cs="Calibri" w:eastAsia="Calibri" w:hAnsi="Calibri"/>
        </w:rPr>
        <w:t xml:space="preserve">The classes</w:t>
      </w:r>
    </w:p>
    <w:p>
      <w:pPr>
        <w:pStyle w:val="ListParagraph"/>
        <w:numPr>
          <w:ilvl w:val="0"/>
          <w:numId w:val="2"/>
        </w:numPr>
        <w:spacing w:after="80"/>
      </w:pPr>
      <w:r>
        <w:rPr>
          <w:rFonts w:ascii="Calibri" w:cs="Calibri" w:eastAsia="Calibri" w:hAnsi="Calibri"/>
          <w:sz w:val="22"/>
          <w:szCs w:val="22"/>
        </w:rPr>
        <w:t xml:space="preserve">Class 009: downloadable software. The App Store and Google Play apps. Pick the description from the USPTO’s ID Manual inside the form; a phrase like "Downloadable software for augmentative and alternative communication" exists there in some form. Search the manual for "augmentative" and "communication software" and choose the closest entry.</w:t>
      </w:r>
    </w:p>
    <w:p>
      <w:pPr>
        <w:pStyle w:val="ListParagraph"/>
        <w:numPr>
          <w:ilvl w:val="0"/>
          <w:numId w:val="2"/>
        </w:numPr>
        <w:spacing w:after="80"/>
      </w:pPr>
      <w:r>
        <w:rPr>
          <w:rFonts w:ascii="Calibri" w:cs="Calibri" w:eastAsia="Calibri" w:hAnsi="Calibri"/>
          <w:sz w:val="22"/>
          <w:szCs w:val="22"/>
        </w:rPr>
        <w:t xml:space="preserve">Class 042: providing online, non-downloadable software. The web app at app.ezvoxa.com and the family portal. Same approach: pick from the manual.</w:t>
      </w:r>
    </w:p>
    <w:p>
      <w:pPr>
        <w:pStyle w:val="ListParagraph"/>
        <w:numPr>
          <w:ilvl w:val="0"/>
          <w:numId w:val="2"/>
        </w:numPr>
        <w:spacing w:after="80"/>
      </w:pPr>
      <w:r>
        <w:rPr>
          <w:rFonts w:ascii="Calibri" w:cs="Calibri" w:eastAsia="Calibri" w:hAnsi="Calibri"/>
          <w:sz w:val="22"/>
          <w:szCs w:val="22"/>
        </w:rPr>
        <w:t xml:space="preserve">Class 041 (educational services) is not needed now. Add it later if the ILP curriculum becomes a product; that is a separate application at that time.</w:t>
      </w:r>
    </w:p>
    <w:p>
      <w:pPr>
        <w:pStyle w:val="Heading2"/>
        <w:spacing w:after="100" w:before="240"/>
      </w:pPr>
      <w:r>
        <w:rPr>
          <w:rFonts w:ascii="Calibri" w:cs="Calibri" w:eastAsia="Calibri" w:hAnsi="Calibri"/>
        </w:rPr>
        <w:t xml:space="preserve">Intent to use, or use in commerce</w:t>
      </w:r>
    </w:p>
    <w:p>
      <w:pPr>
        <w:pStyle w:val="ListParagraph"/>
        <w:numPr>
          <w:ilvl w:val="0"/>
          <w:numId w:val="2"/>
        </w:numPr>
        <w:spacing w:after="80"/>
      </w:pPr>
      <w:r>
        <w:rPr>
          <w:rFonts w:ascii="Calibri" w:cs="Calibri" w:eastAsia="Calibri" w:hAnsi="Calibri"/>
          <w:sz w:val="22"/>
          <w:szCs w:val="22"/>
        </w:rPr>
        <w:t xml:space="preserve">Use in commerce means the goods are actually sold or transported across state lines under the mark. EZvoxa is not on sale yet, so the honest filing is intent to use (a "Section 1(b)" application).</w:t>
      </w:r>
    </w:p>
    <w:p>
      <w:pPr>
        <w:pStyle w:val="ListParagraph"/>
        <w:numPr>
          <w:ilvl w:val="0"/>
          <w:numId w:val="2"/>
        </w:numPr>
        <w:spacing w:after="80"/>
      </w:pPr>
      <w:r>
        <w:rPr>
          <w:rFonts w:ascii="Calibri" w:cs="Calibri" w:eastAsia="Calibri" w:hAnsi="Calibri"/>
          <w:sz w:val="22"/>
          <w:szCs w:val="22"/>
        </w:rPr>
        <w:t xml:space="preserve">After the examiner approves it and it is published, the USPTO issues a Notice of Allowance. From that date you have six months to file the statement of use showing real sales, extendable in six-month steps at $125 per class each time, up to a total of three years. The six-month and three-year figures are from memory of the USPTO’s rules, not re-read today; the $125 fee is from the fee page.</w:t>
      </w:r>
    </w:p>
    <w:p>
      <w:pPr>
        <w:pStyle w:val="ListParagraph"/>
        <w:numPr>
          <w:ilvl w:val="0"/>
          <w:numId w:val="2"/>
        </w:numPr>
        <w:spacing w:after="80"/>
      </w:pPr>
      <w:r>
        <w:rPr>
          <w:rFonts w:ascii="Calibri" w:cs="Calibri" w:eastAsia="Calibri" w:hAnsi="Calibri"/>
          <w:sz w:val="22"/>
          <w:szCs w:val="22"/>
        </w:rPr>
        <w:t xml:space="preserve">The statement of use needs a specimen: a screenshot of the App Store listing or the ezvoxa.com purchase page showing the mark on the product for sale. That is why the app name in the stores has to read EZvoxa exactly.</w:t>
      </w:r>
    </w:p>
    <w:p>
      <w:pPr>
        <w:pStyle w:val="Heading1"/>
        <w:spacing w:after="120" w:before="320"/>
      </w:pPr>
      <w:r>
        <w:rPr>
          <w:rFonts w:ascii="Calibri" w:cs="Calibri" w:eastAsia="Calibri" w:hAnsi="Calibri"/>
        </w:rPr>
        <w:t xml:space="preserve">3. Trademark fees, read from the USPTO on 10 September 2026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4600"/>
      </w:tblGrid>
      <w:tr>
        <w:tc>
          <w:tcPr>
            <w:tcW w:type="dxa" w:w="4300"/>
            <w:shd w:fill="E8E3DA" w:color="auto" w:val="clear"/>
            <w:tcMar>
              <w:top w:type="dxa" w:w="60"/>
              <w:left w:type="dxa" w:w="80"/>
              <w:bottom w:type="dxa" w:w="60"/>
              <w:right w:type="dxa" w:w="80"/>
            </w:tcMar>
          </w:tcPr>
          <w:p>
            <w:r>
              <w:rPr>
                <w:rFonts w:ascii="Calibri" w:cs="Calibri" w:eastAsia="Calibri" w:hAnsi="Calibri"/>
                <w:b/>
                <w:bCs/>
                <w:sz w:val="20"/>
                <w:szCs w:val="20"/>
              </w:rPr>
              <w:t xml:space="preserve">Filing</w:t>
            </w:r>
          </w:p>
        </w:tc>
        <w:tc>
          <w:tcPr>
            <w:tcW w:type="dxa" w:w="1100"/>
            <w:shd w:fill="E8E3DA" w:color="auto" w:val="clear"/>
            <w:tcMar>
              <w:top w:type="dxa" w:w="60"/>
              <w:left w:type="dxa" w:w="80"/>
              <w:bottom w:type="dxa" w:w="60"/>
              <w:right w:type="dxa" w:w="80"/>
            </w:tcMar>
          </w:tcPr>
          <w:p>
            <w:r>
              <w:rPr>
                <w:rFonts w:ascii="Calibri" w:cs="Calibri" w:eastAsia="Calibri" w:hAnsi="Calibri"/>
                <w:b/>
                <w:bCs/>
                <w:sz w:val="20"/>
                <w:szCs w:val="20"/>
              </w:rPr>
              <w:t xml:space="preserve">Fee</w:t>
            </w:r>
          </w:p>
        </w:tc>
        <w:tc>
          <w:tcPr>
            <w:tcW w:type="dxa" w:w="4600"/>
            <w:shd w:fill="E8E3DA" w:color="auto" w:val="clear"/>
            <w:tcMar>
              <w:top w:type="dxa" w:w="60"/>
              <w:left w:type="dxa" w:w="80"/>
              <w:bottom w:type="dxa" w:w="60"/>
              <w:right w:type="dxa" w:w="80"/>
            </w:tcMar>
          </w:tcPr>
          <w:p>
            <w:r>
              <w:rPr>
                <w:rFonts w:ascii="Calibri" w:cs="Calibri" w:eastAsia="Calibri" w:hAnsi="Calibri"/>
                <w:b/>
                <w:bCs/>
                <w:sz w:val="20"/>
                <w:szCs w:val="20"/>
              </w:rPr>
              <w:t xml:space="preserve">Notes</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Application,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$350</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Two classes = $700. Paid when you file.</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Surcharge: free-form goods description,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$200</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Avoided by picking from the ID Manual. Do not type your own description.</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Surcharge: each extra 1,000 characters of free-form text,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$200</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Same. Avoid the free-form box entirely.</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Surcharge: insufficient information,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$100</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Fill every required field the first time.</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Statement of use,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$150</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Filed once you are selling. Two classes = $300.</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Extension of time to file statement of use,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$125</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Each six-month extension, if the first sale slips.</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Petition to revive an abandoned application</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$250</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What Dinn Mann never paid. Answer every USPTO letter on time and this never applies.</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Five-year declaration of use,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$325</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Due between the fifth and sixth year after registration. Grace period adds $100 per class.</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Five-year declaration with incontestability,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$575</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Optional stronger form of the same filing.</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Ten-year renewal combined with declaration, per class</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$650</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Due at year ten and every ten years after. Grace period adds $100 per class.</w:t>
            </w:r>
          </w:p>
        </w:tc>
      </w:tr>
      <w:tr>
        <w:tc>
          <w:tcPr>
            <w:tcW w:type="dxa" w:w="4300"/>
            <w:tcMar>
              <w:top w:type="dxa" w:w="60"/>
              <w:left w:type="dxa" w:w="80"/>
              <w:bottom w:type="dxa" w:w="60"/>
              <w:right w:type="dxa" w:w="80"/>
            </w:tcMar>
          </w:tcPr>
          <w:p>
            <w:r>
              <w:rPr>
                <w:rFonts w:ascii="Calibri" w:cs="Calibri" w:eastAsia="Calibri" w:hAnsi="Calibri"/>
                <w:b w:val="false"/>
                <w:bCs w:val="false"/>
                <w:sz w:val="20"/>
                <w:szCs w:val="20"/>
              </w:rPr>
              <w:t xml:space="preserve">Refused or charged-back payment</w:t>
            </w:r>
          </w:p>
        </w:tc>
        <w:tc>
          <w:tcPr>
            <w:tcW w:type="dxa" w:w="1100"/>
            <w:tcMar>
              <w:top w:type="dxa" w:w="60"/>
              <w:left w:type="dxa" w:w="80"/>
              <w:bottom w:type="dxa" w:w="60"/>
              <w:right w:type="dxa" w:w="80"/>
            </w:tcMar>
          </w:tcPr>
          <w:p>
            <w:r>
              <w:rPr>
                <w:rFonts w:ascii="Calibri" w:cs="Calibri" w:eastAsia="Calibri" w:hAnsi="Calibri"/>
                <w:b w:val="false"/>
                <w:bCs w:val="false"/>
                <w:sz w:val="20"/>
                <w:szCs w:val="20"/>
              </w:rPr>
              <w:t xml:space="preserve">$50</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Not per class.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Total to get registered, two classes, no mistakes: $700 now, $300 at the first sale. Total: $1,000. Then $650 per class at year five and $1,300 per class at year ten across both filings, and nothing in between.</w:t>
      </w:r>
    </w:p>
    <w:p>
      <w:pPr>
        <w:pStyle w:val="Heading1"/>
        <w:spacing w:after="120" w:before="320"/>
      </w:pPr>
      <w:r>
        <w:rPr>
          <w:rFonts w:ascii="Calibri" w:cs="Calibri" w:eastAsia="Calibri" w:hAnsi="Calibri"/>
        </w:rPr>
        <w:t xml:space="preserve">4. How to file the trademark</w:t>
      </w:r>
    </w:p>
    <w:p>
      <w:pPr>
        <w:spacing w:after="120"/>
      </w:pPr>
      <w:r>
        <w:rPr>
          <w:rFonts w:ascii="Calibri" w:cs="Calibri" w:eastAsia="Calibri" w:hAnsi="Calibri"/>
          <w:sz w:val="22"/>
          <w:szCs w:val="22"/>
        </w:rPr>
        <w:t xml:space="preserve">The USPTO’s filing system is the Trademark Center at uspto.gov. You need a USPTO.gov account, verified with an ID check (from memory: they use ID.me). Steps, one action each; labels marked from memory:</w:t>
      </w:r>
    </w:p>
    <w:p>
      <w:pPr>
        <w:pStyle w:val="ListParagraph"/>
        <w:numPr>
          <w:ilvl w:val="0"/>
          <w:numId w:val="3"/>
        </w:numPr>
        <w:spacing w:after="100"/>
      </w:pPr>
      <w:r>
        <w:rPr>
          <w:rFonts w:ascii="Calibri" w:cs="Calibri" w:eastAsia="Calibri" w:hAnsi="Calibri"/>
          <w:sz w:val="22"/>
          <w:szCs w:val="22"/>
        </w:rPr>
        <w:t xml:space="preserve">Go to tmsearch.uspto.gov. Search EZVOXA. Then search EZ VOICE. Screenshot both result pages and send them to Claude. If something close exists, stop and read it before paying.</w:t>
      </w:r>
    </w:p>
    <w:p>
      <w:pPr>
        <w:pStyle w:val="ListParagraph"/>
        <w:numPr>
          <w:ilvl w:val="0"/>
          <w:numId w:val="3"/>
        </w:numPr>
        <w:spacing w:after="100"/>
      </w:pPr>
      <w:r>
        <w:rPr>
          <w:rFonts w:ascii="Calibri" w:cs="Calibri" w:eastAsia="Calibri" w:hAnsi="Calibri"/>
          <w:sz w:val="22"/>
          <w:szCs w:val="22"/>
        </w:rPr>
        <w:t xml:space="preserve">Go to uspto.gov, Trademarks, and open the Trademark Center (label from memory). Sign in or create the account and complete identity verification.</w:t>
      </w:r>
    </w:p>
    <w:p>
      <w:pPr>
        <w:pStyle w:val="ListParagraph"/>
        <w:numPr>
          <w:ilvl w:val="0"/>
          <w:numId w:val="3"/>
        </w:numPr>
        <w:spacing w:after="100"/>
      </w:pPr>
      <w:r>
        <w:rPr>
          <w:rFonts w:ascii="Calibri" w:cs="Calibri" w:eastAsia="Calibri" w:hAnsi="Calibri"/>
          <w:sz w:val="22"/>
          <w:szCs w:val="22"/>
        </w:rPr>
        <w:t xml:space="preserve">Start a new application. Choose the standard application, not the free-form one, so the ID Manual is used and the $200 surcharge never applies.</w:t>
      </w:r>
    </w:p>
    <w:p>
      <w:pPr>
        <w:pStyle w:val="ListParagraph"/>
        <w:numPr>
          <w:ilvl w:val="0"/>
          <w:numId w:val="3"/>
        </w:numPr>
        <w:spacing w:after="100"/>
      </w:pPr>
      <w:r>
        <w:rPr>
          <w:rFonts w:ascii="Calibri" w:cs="Calibri" w:eastAsia="Calibri" w:hAnsi="Calibri"/>
          <w:sz w:val="22"/>
          <w:szCs w:val="22"/>
        </w:rPr>
        <w:t xml:space="preserve">Owner: EZ Voice LLC. Entity type: limited liability company. State: Florida. Address: the LLC’s address. Email: the one you check.</w:t>
      </w:r>
    </w:p>
    <w:p>
      <w:pPr>
        <w:pStyle w:val="ListParagraph"/>
        <w:numPr>
          <w:ilvl w:val="0"/>
          <w:numId w:val="3"/>
        </w:numPr>
        <w:spacing w:after="100"/>
      </w:pPr>
      <w:r>
        <w:rPr>
          <w:rFonts w:ascii="Calibri" w:cs="Calibri" w:eastAsia="Calibri" w:hAnsi="Calibri"/>
          <w:sz w:val="22"/>
          <w:szCs w:val="22"/>
        </w:rPr>
        <w:t xml:space="preserve">Mark: standard characters. Type EZVOXA. No logo, no design.</w:t>
      </w:r>
    </w:p>
    <w:p>
      <w:pPr>
        <w:pStyle w:val="ListParagraph"/>
        <w:numPr>
          <w:ilvl w:val="0"/>
          <w:numId w:val="3"/>
        </w:numPr>
        <w:spacing w:after="100"/>
      </w:pPr>
      <w:r>
        <w:rPr>
          <w:rFonts w:ascii="Calibri" w:cs="Calibri" w:eastAsia="Calibri" w:hAnsi="Calibri"/>
          <w:sz w:val="22"/>
          <w:szCs w:val="22"/>
        </w:rPr>
        <w:t xml:space="preserve">Goods and services: search the ID Manual for "augmentative" and pick the class 009 entry for downloadable communication software. Add a class 042 entry for online non-downloadable communication software. Two classes.</w:t>
      </w:r>
    </w:p>
    <w:p>
      <w:pPr>
        <w:pStyle w:val="ListParagraph"/>
        <w:numPr>
          <w:ilvl w:val="0"/>
          <w:numId w:val="3"/>
        </w:numPr>
        <w:spacing w:after="100"/>
      </w:pPr>
      <w:r>
        <w:rPr>
          <w:rFonts w:ascii="Calibri" w:cs="Calibri" w:eastAsia="Calibri" w:hAnsi="Calibri"/>
          <w:sz w:val="22"/>
          <w:szCs w:val="22"/>
        </w:rPr>
        <w:t xml:space="preserve">Filing basis: intent to use (Section 1(b)) for both classes.</w:t>
      </w:r>
    </w:p>
    <w:p>
      <w:pPr>
        <w:pStyle w:val="ListParagraph"/>
        <w:numPr>
          <w:ilvl w:val="0"/>
          <w:numId w:val="3"/>
        </w:numPr>
        <w:spacing w:after="100"/>
      </w:pPr>
      <w:r>
        <w:rPr>
          <w:rFonts w:ascii="Calibri" w:cs="Calibri" w:eastAsia="Calibri" w:hAnsi="Calibri"/>
          <w:sz w:val="22"/>
          <w:szCs w:val="22"/>
        </w:rPr>
        <w:t xml:space="preserve">Sign as Frank Schaeffer, Managing Member (or your actual title), and pay $700.</w:t>
      </w:r>
    </w:p>
    <w:p>
      <w:pPr>
        <w:pStyle w:val="ListParagraph"/>
        <w:numPr>
          <w:ilvl w:val="0"/>
          <w:numId w:val="3"/>
        </w:numPr>
        <w:spacing w:after="100"/>
      </w:pPr>
      <w:r>
        <w:rPr>
          <w:rFonts w:ascii="Calibri" w:cs="Calibri" w:eastAsia="Calibri" w:hAnsi="Calibri"/>
          <w:sz w:val="22"/>
          <w:szCs w:val="22"/>
        </w:rPr>
        <w:t xml:space="preserve">Save the serial number the confirmation gives you. Every letter from the USPTO after this is a deadline. Forward each one to Claude the day it arrives.</w:t>
      </w:r>
    </w:p>
    <w:p>
      <w:pPr>
        <w:spacing w:after="120"/>
      </w:pPr>
      <w:r>
        <w:rPr>
          <w:rFonts w:ascii="Calibri" w:cs="Calibri" w:eastAsia="Calibri" w:hAnsi="Calibri"/>
          <w:sz w:val="22"/>
          <w:szCs w:val="22"/>
        </w:rPr>
        <w:t xml:space="preserve">Timing, from memory of USPTO’s published averages, not re-read: the first examiner letter comes several months after filing, and registration after a use-based statement typically takes a year or more overall. None of that changes what you can do now; from the filing date you can put TM next to the name. The ® symbol only after registration.</w:t>
      </w:r>
    </w:p>
    <w:p>
      <w:pPr>
        <w:pStyle w:val="Heading1"/>
        <w:spacing w:after="120" w:before="320"/>
      </w:pPr>
      <w:r>
        <w:rPr>
          <w:rFonts w:ascii="Calibri" w:cs="Calibri" w:eastAsia="Calibri" w:hAnsi="Calibri"/>
        </w:rPr>
        <w:t xml:space="preserve">5. Copyright: what it protects and what to register</w:t>
      </w:r>
    </w:p>
    <w:p>
      <w:pPr>
        <w:spacing w:after="120"/>
      </w:pPr>
      <w:r>
        <w:rPr>
          <w:rFonts w:ascii="Calibri" w:cs="Calibri" w:eastAsia="Calibri" w:hAnsi="Calibri"/>
          <w:sz w:val="22"/>
          <w:szCs w:val="22"/>
        </w:rPr>
        <w:t xml:space="preserve">Copyright protects the work itself: the app’s code, the neon icon set, the website text, the demo narration. It exists the moment the work is created and belongs to EZ Voice LLC if the work was made by the company or assigned to it. Registration is what lets you sue, and it is what a district’s purchasing office means when it asks who the copyright owner is for the sole-source exemption under Florida Rule 6A-1.012.</w:t>
      </w:r>
    </w:p>
    <w:p>
      <w:pPr>
        <w:pStyle w:val="Heading2"/>
        <w:spacing w:after="100" w:before="240"/>
      </w:pPr>
      <w:r>
        <w:rPr>
          <w:rFonts w:ascii="Calibri" w:cs="Calibri" w:eastAsia="Calibri" w:hAnsi="Calibri"/>
        </w:rPr>
        <w:t xml:space="preserve">What to register</w:t>
      </w:r>
    </w:p>
    <w:p>
      <w:pPr>
        <w:pStyle w:val="ListParagraph"/>
        <w:numPr>
          <w:ilvl w:val="0"/>
          <w:numId w:val="2"/>
        </w:numPr>
        <w:spacing w:after="80"/>
      </w:pPr>
      <w:r>
        <w:rPr>
          <w:rFonts w:ascii="Calibri" w:cs="Calibri" w:eastAsia="Calibri" w:hAnsi="Calibri"/>
          <w:sz w:val="22"/>
          <w:szCs w:val="22"/>
        </w:rPr>
        <w:t xml:space="preserve">The app, as a computer program. One registration for the EZvoxa software, with a deposit of a portion of the source code as the Copyright Office specifies (from memory: the first and last 25 pages, with trade secrets redacted if you choose). Register the version being sold; later versions can be registered as new works when they change materially.</w:t>
      </w:r>
    </w:p>
    <w:p>
      <w:pPr>
        <w:pStyle w:val="ListParagraph"/>
        <w:numPr>
          <w:ilvl w:val="0"/>
          <w:numId w:val="2"/>
        </w:numPr>
        <w:spacing w:after="80"/>
      </w:pPr>
      <w:r>
        <w:rPr>
          <w:rFonts w:ascii="Calibri" w:cs="Calibri" w:eastAsia="Calibri" w:hAnsi="Calibri"/>
          <w:sz w:val="22"/>
          <w:szCs w:val="22"/>
        </w:rPr>
        <w:t xml:space="preserve">The icon set, as a work of visual art. Frank’s neon pictures are the product’s face and the most copyable part. From memory, the Copyright Office allows a group registration for unpublished works, up to a limit per filing; the exact rule and fee are unverified.</w:t>
      </w:r>
    </w:p>
    <w:p>
      <w:pPr>
        <w:pStyle w:val="ListParagraph"/>
        <w:numPr>
          <w:ilvl w:val="0"/>
          <w:numId w:val="2"/>
        </w:numPr>
        <w:spacing w:after="80"/>
      </w:pPr>
      <w:r>
        <w:rPr>
          <w:rFonts w:ascii="Calibri" w:cs="Calibri" w:eastAsia="Calibri" w:hAnsi="Calibri"/>
          <w:sz w:val="22"/>
          <w:szCs w:val="22"/>
        </w:rPr>
        <w:t xml:space="preserve">The website copy and the blog entries: optional, low priority. Your name on the page and the date are already strong.</w:t>
      </w:r>
    </w:p>
    <w:p>
      <w:pPr>
        <w:pStyle w:val="Heading2"/>
        <w:spacing w:after="100" w:before="240"/>
      </w:pPr>
      <w:r>
        <w:rPr>
          <w:rFonts w:ascii="Calibri" w:cs="Calibri" w:eastAsia="Calibri" w:hAnsi="Calibri"/>
        </w:rPr>
        <w:t xml:space="preserve">Ownership</w:t>
      </w:r>
    </w:p>
    <w:p>
      <w:pPr>
        <w:pStyle w:val="ListParagraph"/>
        <w:numPr>
          <w:ilvl w:val="0"/>
          <w:numId w:val="2"/>
        </w:numPr>
        <w:spacing w:after="80"/>
      </w:pPr>
      <w:r>
        <w:rPr>
          <w:rFonts w:ascii="Calibri" w:cs="Calibri" w:eastAsia="Calibri" w:hAnsi="Calibri"/>
          <w:sz w:val="22"/>
          <w:szCs w:val="22"/>
        </w:rPr>
        <w:t xml:space="preserve">Work you made yourself belongs to you until it is assigned to the LLC. A one-page assignment from Frank Schaeffer to EZ Voice LLC covering the software, artwork and site, signed and dated, puts everything in the company’s name before registration. Anything Claude produced under your direction is yours to assign the same way.</w:t>
      </w:r>
    </w:p>
    <w:p>
      <w:pPr>
        <w:pStyle w:val="ListParagraph"/>
        <w:numPr>
          <w:ilvl w:val="0"/>
          <w:numId w:val="2"/>
        </w:numPr>
        <w:spacing w:after="80"/>
      </w:pPr>
      <w:r>
        <w:rPr>
          <w:rFonts w:ascii="Calibri" w:cs="Calibri" w:eastAsia="Calibri" w:hAnsi="Calibri"/>
          <w:sz w:val="22"/>
          <w:szCs w:val="22"/>
        </w:rPr>
        <w:t xml:space="preserve">Evan’s likeness and story are not company property and should never be assigned to it. They stay with the family. This matters for any documentary conversation.</w:t>
      </w:r>
    </w:p>
    <w:p>
      <w:pPr>
        <w:pStyle w:val="Heading2"/>
        <w:spacing w:after="100" w:before="240"/>
      </w:pPr>
      <w:r>
        <w:rPr>
          <w:rFonts w:ascii="Calibri" w:cs="Calibri" w:eastAsia="Calibri" w:hAnsi="Calibri"/>
        </w:rPr>
        <w:t xml:space="preserve">Fees: unverified</w:t>
      </w:r>
    </w:p>
    <w:p>
      <w:pPr>
        <w:spacing w:after="120"/>
      </w:pPr>
      <w:r>
        <w:rPr>
          <w:rFonts w:ascii="Calibri" w:cs="Calibri" w:eastAsia="Calibri" w:hAnsi="Calibri"/>
          <w:sz w:val="22"/>
          <w:szCs w:val="22"/>
        </w:rPr>
        <w:t xml:space="preserve">copyright.gov is blocked from Claude’s environment. Add copyright.gov and *.copyright.gov to the allow list and the fee page will be read and this section completed with the exact application type and dollar amount for each registration. Until then no figure is quoted here.</w:t>
      </w:r>
    </w:p>
    <w:p>
      <w:pPr>
        <w:pStyle w:val="Heading1"/>
        <w:spacing w:after="120" w:before="320"/>
      </w:pPr>
      <w:r>
        <w:rPr>
          <w:rFonts w:ascii="Calibri" w:cs="Calibri" w:eastAsia="Calibri" w:hAnsi="Calibri"/>
        </w:rPr>
        <w:t xml:space="preserve">6. Deadlines to keep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2200"/>
      </w:tblGrid>
      <w:tr>
        <w:tc>
          <w:tcPr>
            <w:tcW w:type="dxa" w:w="3200"/>
            <w:shd w:fill="E8E3DA" w:color="auto" w:val="clear"/>
            <w:tcMar>
              <w:top w:type="dxa" w:w="60"/>
              <w:left w:type="dxa" w:w="80"/>
              <w:bottom w:type="dxa" w:w="60"/>
              <w:right w:type="dxa" w:w="80"/>
            </w:tcMar>
          </w:tcPr>
          <w:p>
            <w:r>
              <w:rPr>
                <w:rFonts w:ascii="Calibri" w:cs="Calibri" w:eastAsia="Calibri" w:hAnsi="Calibri"/>
                <w:b/>
                <w:bCs/>
                <w:sz w:val="20"/>
                <w:szCs w:val="20"/>
              </w:rPr>
              <w:t xml:space="preserve">When</w:t>
            </w:r>
          </w:p>
        </w:tc>
        <w:tc>
          <w:tcPr>
            <w:tcW w:type="dxa" w:w="4600"/>
            <w:shd w:fill="E8E3DA" w:color="auto" w:val="clear"/>
            <w:tcMar>
              <w:top w:type="dxa" w:w="60"/>
              <w:left w:type="dxa" w:w="80"/>
              <w:bottom w:type="dxa" w:w="60"/>
              <w:right w:type="dxa" w:w="80"/>
            </w:tcMar>
          </w:tcPr>
          <w:p>
            <w:r>
              <w:rPr>
                <w:rFonts w:ascii="Calibri" w:cs="Calibri" w:eastAsia="Calibri" w:hAnsi="Calibri"/>
                <w:b/>
                <w:bCs/>
                <w:sz w:val="20"/>
                <w:szCs w:val="20"/>
              </w:rPr>
              <w:t xml:space="preserve">What</w:t>
            </w:r>
          </w:p>
        </w:tc>
        <w:tc>
          <w:tcPr>
            <w:tcW w:type="dxa" w:w="2200"/>
            <w:shd w:fill="E8E3DA" w:color="auto" w:val="clear"/>
            <w:tcMar>
              <w:top w:type="dxa" w:w="60"/>
              <w:left w:type="dxa" w:w="80"/>
              <w:bottom w:type="dxa" w:w="60"/>
              <w:right w:type="dxa" w:w="80"/>
            </w:tcMar>
          </w:tcPr>
          <w:p>
            <w:r>
              <w:rPr>
                <w:rFonts w:ascii="Calibri" w:cs="Calibri" w:eastAsia="Calibri" w:hAnsi="Calibri"/>
                <w:b/>
                <w:bCs/>
                <w:sz w:val="20"/>
                <w:szCs w:val="20"/>
              </w:rPr>
              <w:t xml:space="preserve">Cost</w:t>
            </w:r>
          </w:p>
        </w:tc>
      </w:tr>
      <w:tr>
        <w:tc>
          <w:tcPr>
            <w:tcW w:type="dxa" w:w="3200"/>
            <w:tcMar>
              <w:top w:type="dxa" w:w="60"/>
              <w:left w:type="dxa" w:w="80"/>
              <w:bottom w:type="dxa" w:w="60"/>
              <w:right w:type="dxa" w:w="80"/>
            </w:tcMar>
          </w:tcPr>
          <w:p>
            <w:r>
              <w:rPr>
                <w:rFonts w:ascii="Calibri" w:cs="Calibri" w:eastAsia="Calibri" w:hAnsi="Calibri"/>
                <w:b w:val="false"/>
                <w:bCs w:val="false"/>
                <w:sz w:val="20"/>
                <w:szCs w:val="20"/>
              </w:rPr>
              <w:t xml:space="preserve">Now</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Search the register; file EZVOXA in classes 009 and 042, intent to use</w:t>
            </w:r>
          </w:p>
        </w:tc>
        <w:tc>
          <w:tcPr>
            <w:tcW w:type="dxa" w:w="2200"/>
            <w:tcMar>
              <w:top w:type="dxa" w:w="60"/>
              <w:left w:type="dxa" w:w="80"/>
              <w:bottom w:type="dxa" w:w="60"/>
              <w:right w:type="dxa" w:w="80"/>
            </w:tcMar>
          </w:tcPr>
          <w:p>
            <w:r>
              <w:rPr>
                <w:rFonts w:ascii="Calibri" w:cs="Calibri" w:eastAsia="Calibri" w:hAnsi="Calibri"/>
                <w:b w:val="false"/>
                <w:bCs w:val="false"/>
                <w:sz w:val="20"/>
                <w:szCs w:val="20"/>
              </w:rPr>
              <w:t xml:space="preserve">$700</w:t>
            </w:r>
          </w:p>
        </w:tc>
      </w:tr>
      <w:tr>
        <w:tc>
          <w:tcPr>
            <w:tcW w:type="dxa" w:w="3200"/>
            <w:tcMar>
              <w:top w:type="dxa" w:w="60"/>
              <w:left w:type="dxa" w:w="80"/>
              <w:bottom w:type="dxa" w:w="60"/>
              <w:right w:type="dxa" w:w="80"/>
            </w:tcMar>
          </w:tcPr>
          <w:p>
            <w:r>
              <w:rPr>
                <w:rFonts w:ascii="Calibri" w:cs="Calibri" w:eastAsia="Calibri" w:hAnsi="Calibri"/>
                <w:b w:val="false"/>
                <w:bCs w:val="false"/>
                <w:sz w:val="20"/>
                <w:szCs w:val="20"/>
              </w:rPr>
              <w:t xml:space="preserve">Each USPTO letter</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Respond by the date on it</w:t>
            </w:r>
          </w:p>
        </w:tc>
        <w:tc>
          <w:tcPr>
            <w:tcW w:type="dxa" w:w="2200"/>
            <w:tcMar>
              <w:top w:type="dxa" w:w="60"/>
              <w:left w:type="dxa" w:w="80"/>
              <w:bottom w:type="dxa" w:w="60"/>
              <w:right w:type="dxa" w:w="80"/>
            </w:tcMar>
          </w:tcPr>
          <w:p>
            <w:r>
              <w:rPr>
                <w:rFonts w:ascii="Calibri" w:cs="Calibri" w:eastAsia="Calibri" w:hAnsi="Calibri"/>
                <w:b w:val="false"/>
                <w:bCs w:val="false"/>
                <w:sz w:val="20"/>
                <w:szCs w:val="20"/>
              </w:rPr>
              <w:t xml:space="preserve">$0 if on time; $250 to revive if missed</w:t>
            </w:r>
          </w:p>
        </w:tc>
      </w:tr>
      <w:tr>
        <w:tc>
          <w:tcPr>
            <w:tcW w:type="dxa" w:w="3200"/>
            <w:tcMar>
              <w:top w:type="dxa" w:w="60"/>
              <w:left w:type="dxa" w:w="80"/>
              <w:bottom w:type="dxa" w:w="60"/>
              <w:right w:type="dxa" w:w="80"/>
            </w:tcMar>
          </w:tcPr>
          <w:p>
            <w:r>
              <w:rPr>
                <w:rFonts w:ascii="Calibri" w:cs="Calibri" w:eastAsia="Calibri" w:hAnsi="Calibri"/>
                <w:b w:val="false"/>
                <w:bCs w:val="false"/>
                <w:sz w:val="20"/>
                <w:szCs w:val="20"/>
              </w:rPr>
              <w:t xml:space="preserve">Within six months of the Notice of Allowance</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Statement of use with a specimen, or an extension</w:t>
            </w:r>
          </w:p>
        </w:tc>
        <w:tc>
          <w:tcPr>
            <w:tcW w:type="dxa" w:w="2200"/>
            <w:tcMar>
              <w:top w:type="dxa" w:w="60"/>
              <w:left w:type="dxa" w:w="80"/>
              <w:bottom w:type="dxa" w:w="60"/>
              <w:right w:type="dxa" w:w="80"/>
            </w:tcMar>
          </w:tcPr>
          <w:p>
            <w:r>
              <w:rPr>
                <w:rFonts w:ascii="Calibri" w:cs="Calibri" w:eastAsia="Calibri" w:hAnsi="Calibri"/>
                <w:b w:val="false"/>
                <w:bCs w:val="false"/>
                <w:sz w:val="20"/>
                <w:szCs w:val="20"/>
              </w:rPr>
              <w:t xml:space="preserve">$150 per class, or $125 per class per extension</w:t>
            </w:r>
          </w:p>
        </w:tc>
      </w:tr>
      <w:tr>
        <w:tc>
          <w:tcPr>
            <w:tcW w:type="dxa" w:w="3200"/>
            <w:tcMar>
              <w:top w:type="dxa" w:w="60"/>
              <w:left w:type="dxa" w:w="80"/>
              <w:bottom w:type="dxa" w:w="60"/>
              <w:right w:type="dxa" w:w="80"/>
            </w:tcMar>
          </w:tcPr>
          <w:p>
            <w:r>
              <w:rPr>
                <w:rFonts w:ascii="Calibri" w:cs="Calibri" w:eastAsia="Calibri" w:hAnsi="Calibri"/>
                <w:b w:val="false"/>
                <w:bCs w:val="false"/>
                <w:sz w:val="20"/>
                <w:szCs w:val="20"/>
              </w:rPr>
              <w:t xml:space="preserve">At first sale</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Register the copyright in the software and the icon set</w:t>
            </w:r>
          </w:p>
        </w:tc>
        <w:tc>
          <w:tcPr>
            <w:tcW w:type="dxa" w:w="2200"/>
            <w:tcMar>
              <w:top w:type="dxa" w:w="60"/>
              <w:left w:type="dxa" w:w="80"/>
              <w:bottom w:type="dxa" w:w="60"/>
              <w:right w:type="dxa" w:w="80"/>
            </w:tcMar>
          </w:tcPr>
          <w:p>
            <w:r>
              <w:rPr>
                <w:rFonts w:ascii="Calibri" w:cs="Calibri" w:eastAsia="Calibri" w:hAnsi="Calibri"/>
                <w:b w:val="false"/>
                <w:bCs w:val="false"/>
                <w:sz w:val="20"/>
                <w:szCs w:val="20"/>
              </w:rPr>
              <w:t xml:space="preserve">Unverified</w:t>
            </w:r>
          </w:p>
        </w:tc>
      </w:tr>
      <w:tr>
        <w:tc>
          <w:tcPr>
            <w:tcW w:type="dxa" w:w="3200"/>
            <w:tcMar>
              <w:top w:type="dxa" w:w="60"/>
              <w:left w:type="dxa" w:w="80"/>
              <w:bottom w:type="dxa" w:w="60"/>
              <w:right w:type="dxa" w:w="80"/>
            </w:tcMar>
          </w:tcPr>
          <w:p>
            <w:r>
              <w:rPr>
                <w:rFonts w:ascii="Calibri" w:cs="Calibri" w:eastAsia="Calibri" w:hAnsi="Calibri"/>
                <w:b w:val="false"/>
                <w:bCs w:val="false"/>
                <w:sz w:val="20"/>
                <w:szCs w:val="20"/>
              </w:rPr>
              <w:t xml:space="preserve">Years five to six after registration</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Five-year declaration of use</w:t>
            </w:r>
          </w:p>
        </w:tc>
        <w:tc>
          <w:tcPr>
            <w:tcW w:type="dxa" w:w="2200"/>
            <w:tcMar>
              <w:top w:type="dxa" w:w="60"/>
              <w:left w:type="dxa" w:w="80"/>
              <w:bottom w:type="dxa" w:w="60"/>
              <w:right w:type="dxa" w:w="80"/>
            </w:tcMar>
          </w:tcPr>
          <w:p>
            <w:r>
              <w:rPr>
                <w:rFonts w:ascii="Calibri" w:cs="Calibri" w:eastAsia="Calibri" w:hAnsi="Calibri"/>
                <w:b w:val="false"/>
                <w:bCs w:val="false"/>
                <w:sz w:val="20"/>
                <w:szCs w:val="20"/>
              </w:rPr>
              <w:t xml:space="preserve">$325 per class</w:t>
            </w:r>
          </w:p>
        </w:tc>
      </w:tr>
      <w:tr>
        <w:tc>
          <w:tcPr>
            <w:tcW w:type="dxa" w:w="3200"/>
            <w:tcMar>
              <w:top w:type="dxa" w:w="60"/>
              <w:left w:type="dxa" w:w="80"/>
              <w:bottom w:type="dxa" w:w="60"/>
              <w:right w:type="dxa" w:w="80"/>
            </w:tcMar>
          </w:tcPr>
          <w:p>
            <w:r>
              <w:rPr>
                <w:rFonts w:ascii="Calibri" w:cs="Calibri" w:eastAsia="Calibri" w:hAnsi="Calibri"/>
                <w:b w:val="false"/>
                <w:bCs w:val="false"/>
                <w:sz w:val="20"/>
                <w:szCs w:val="20"/>
              </w:rPr>
              <w:t xml:space="preserve">Year ten, and every ten years</w:t>
            </w:r>
          </w:p>
        </w:tc>
        <w:tc>
          <w:tcPr>
            <w:tcW w:type="dxa" w:w="4600"/>
            <w:tcMar>
              <w:top w:type="dxa" w:w="60"/>
              <w:left w:type="dxa" w:w="80"/>
              <w:bottom w:type="dxa" w:w="60"/>
              <w:right w:type="dxa" w:w="80"/>
            </w:tcMar>
          </w:tcPr>
          <w:p>
            <w:r>
              <w:rPr>
                <w:rFonts w:ascii="Calibri" w:cs="Calibri" w:eastAsia="Calibri" w:hAnsi="Calibri"/>
                <w:b w:val="false"/>
                <w:bCs w:val="false"/>
                <w:sz w:val="20"/>
                <w:szCs w:val="20"/>
              </w:rPr>
              <w:t xml:space="preserve">Renewal combined with declaration</w:t>
            </w:r>
          </w:p>
        </w:tc>
        <w:tc>
          <w:tcPr>
            <w:tcW w:type="dxa" w:w="2200"/>
            <w:tcMar>
              <w:top w:type="dxa" w:w="60"/>
              <w:left w:type="dxa" w:w="80"/>
              <w:bottom w:type="dxa" w:w="60"/>
              <w:right w:type="dxa" w:w="80"/>
            </w:tcMar>
          </w:tcPr>
          <w:p>
            <w:r>
              <w:rPr>
                <w:rFonts w:ascii="Calibri" w:cs="Calibri" w:eastAsia="Calibri" w:hAnsi="Calibri"/>
                <w:b w:val="false"/>
                <w:bCs w:val="false"/>
                <w:sz w:val="20"/>
                <w:szCs w:val="20"/>
              </w:rPr>
              <w:t xml:space="preserve">$650 per class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Sources: USPTO trademark fee information page, uspto.gov, read 10 September 2026 (fee schedule effective January 18, 2025). USPTO TSDR record for serial 90648136, read the same day, as the example of an abandoned intent-to-use application. Items marked from memory are not sourced and should be checked on the USPTO or Copyright Office site before relying on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2026-09-09T07:19:00.687Z</dcterms:created>
  <dcterms:modified xsi:type="dcterms:W3CDTF">2026-09-09T07:19:00.693Z</dcterms:modified>
</cp:coreProperties>
</file>

<file path=docProps/custom.xml><?xml version="1.0" encoding="utf-8"?>
<Properties xmlns="http://schemas.openxmlformats.org/officeDocument/2006/custom-properties" xmlns:vt="http://schemas.openxmlformats.org/officeDocument/2006/docPropsVTypes"/>
</file>