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㈜스마트전자 경비 처리 매뉴얼 (2025년 개정판)</w:t>
      </w:r>
    </w:p>
    <w:p>
      <w:pPr>
        <w:pStyle w:val="Heading1"/>
      </w:pPr>
      <w:r>
        <w:t>제1조 (목적)</w:t>
      </w:r>
    </w:p>
    <w:p>
      <w:r>
        <w:t>이 매뉴얼은 임직원의 업무 관련 경비 사용 및 정산 절차를 정함을 목적으로 한다.</w:t>
      </w:r>
    </w:p>
    <w:p>
      <w:pPr>
        <w:pStyle w:val="Heading1"/>
      </w:pPr>
      <w:r>
        <w:t>제2조 (법인카드 사용)</w:t>
      </w:r>
    </w:p>
    <w:p>
      <w:r>
        <w:t>1항. 법인카드는 업무 목적에 한해 사용하며, 개인 용도 사용은 금지한다.</w:t>
      </w:r>
    </w:p>
    <w:p>
      <w:r>
        <w:t>2항. 법인카드 사용 후 3영업일 이내에 전자결재 시스템에 사용 내역과 영수증을 등록해야 한다.</w:t>
      </w:r>
    </w:p>
    <w:p>
      <w:r>
        <w:t>3항. 유흥업소, 상품권 구매, 주말·공휴일 사용(사전 승인 건 제외)은 법인카드 사용 제한 업종이다.</w:t>
      </w:r>
    </w:p>
    <w:p>
      <w:pPr>
        <w:pStyle w:val="Heading1"/>
      </w:pPr>
      <w:r>
        <w:t>제3조 (국내 출장비)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사원~대리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과장~차장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부장 이상</w:t>
            </w:r>
          </w:p>
        </w:tc>
      </w:tr>
      <w:tr>
        <w:tc>
          <w:tcPr>
            <w:tcW w:type="dxa" w:w="2160"/>
          </w:tcPr>
          <w:p>
            <w:r>
              <w:t>숙박비(1박)</w:t>
            </w:r>
          </w:p>
        </w:tc>
        <w:tc>
          <w:tcPr>
            <w:tcW w:type="dxa" w:w="2160"/>
          </w:tcPr>
          <w:p>
            <w:r>
              <w:t>80,000원</w:t>
            </w:r>
          </w:p>
        </w:tc>
        <w:tc>
          <w:tcPr>
            <w:tcW w:type="dxa" w:w="2160"/>
          </w:tcPr>
          <w:p>
            <w:r>
              <w:t>100,000원</w:t>
            </w:r>
          </w:p>
        </w:tc>
        <w:tc>
          <w:tcPr>
            <w:tcW w:type="dxa" w:w="2160"/>
          </w:tcPr>
          <w:p>
            <w:r>
              <w:t>130,000원</w:t>
            </w:r>
          </w:p>
        </w:tc>
      </w:tr>
      <w:tr>
        <w:tc>
          <w:tcPr>
            <w:tcW w:type="dxa" w:w="2160"/>
          </w:tcPr>
          <w:p>
            <w:r>
              <w:t>일비(1일)</w:t>
            </w:r>
          </w:p>
        </w:tc>
        <w:tc>
          <w:tcPr>
            <w:tcW w:type="dxa" w:w="2160"/>
          </w:tcPr>
          <w:p>
            <w:r>
              <w:t>30,000원</w:t>
            </w:r>
          </w:p>
        </w:tc>
        <w:tc>
          <w:tcPr>
            <w:tcW w:type="dxa" w:w="2160"/>
          </w:tcPr>
          <w:p>
            <w:r>
              <w:t>30,000원</w:t>
            </w:r>
          </w:p>
        </w:tc>
        <w:tc>
          <w:tcPr>
            <w:tcW w:type="dxa" w:w="2160"/>
          </w:tcPr>
          <w:p>
            <w:r>
              <w:t>40,000원</w:t>
            </w:r>
          </w:p>
        </w:tc>
      </w:tr>
      <w:tr>
        <w:tc>
          <w:tcPr>
            <w:tcW w:type="dxa" w:w="2160"/>
          </w:tcPr>
          <w:p>
            <w:r>
              <w:t>식비(1식)</w:t>
            </w:r>
          </w:p>
        </w:tc>
        <w:tc>
          <w:tcPr>
            <w:tcW w:type="dxa" w:w="2160"/>
          </w:tcPr>
          <w:p>
            <w:r>
              <w:t>10,000원</w:t>
            </w:r>
          </w:p>
        </w:tc>
        <w:tc>
          <w:tcPr>
            <w:tcW w:type="dxa" w:w="2160"/>
          </w:tcPr>
          <w:p>
            <w:r>
              <w:t>12,000원</w:t>
            </w:r>
          </w:p>
        </w:tc>
        <w:tc>
          <w:tcPr>
            <w:tcW w:type="dxa" w:w="2160"/>
          </w:tcPr>
          <w:p>
            <w:r>
              <w:t>15,000원</w:t>
            </w:r>
          </w:p>
        </w:tc>
      </w:tr>
    </w:tbl>
    <w:p/>
    <w:p>
      <w:r>
        <w:t>1항. 교통비는 실비로 정산하며, KTX·고속버스 일반석을 원칙으로 한다.</w:t>
      </w:r>
    </w:p>
    <w:p>
      <w:r>
        <w:t>2항. 자가용 이용 시 유류비는 km당 250원, 통행료·주차비는 실비로 지급한다.</w:t>
      </w:r>
    </w:p>
    <w:p>
      <w:r>
        <w:t>3항. 출장 종료 후 5영업일 이내에 출장 결과 보고서와 함께 정산한다.</w:t>
      </w:r>
    </w:p>
    <w:p>
      <w:pPr>
        <w:pStyle w:val="Heading1"/>
      </w:pPr>
      <w:r>
        <w:t>제4조 (회식비 및 접대비)</w:t>
      </w:r>
    </w:p>
    <w:p>
      <w:r>
        <w:t>1항. 부서 회식비는 1인당 30,000원 이내, 분기 1회를 원칙으로 한다.</w:t>
      </w:r>
    </w:p>
    <w:p>
      <w:r>
        <w:t>2항. 거래처 접대비는 1회 50만 원을 초과할 경우 사전에 본부장 승인을 받아야 한다.</w:t>
      </w:r>
    </w:p>
    <w:p>
      <w:r>
        <w:t>3항. 접대비 정산 시 참석자 명단(거래처명, 인원)을 반드시 기재한다.</w:t>
      </w:r>
    </w:p>
    <w:p>
      <w:pPr>
        <w:pStyle w:val="Heading1"/>
      </w:pPr>
      <w:r>
        <w:t>제5조 (영수증 분실)</w:t>
      </w:r>
    </w:p>
    <w:p>
      <w:r>
        <w:t>1항. 영수증을 분실한 경우 카드사 이용 내역서와 '영수증 분실 사유서'를 제출한다.</w:t>
      </w:r>
    </w:p>
    <w:p>
      <w:r>
        <w:t>2항. 현금 사용 건의 영수증 분실은 정산이 불가하다.</w:t>
      </w:r>
    </w:p>
    <w:p>
      <w:pPr>
        <w:pStyle w:val="Heading1"/>
      </w:pPr>
      <w:r>
        <w:t>제6조 (문의처)</w:t>
      </w:r>
    </w:p>
    <w:p>
      <w:r>
        <w:t>경비 처리 관련 문의: 재무팀 (내선 1234, finance@smartelec.co.kr)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