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7EB778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Industrial Cooling Water Treatment — Domain Primer and Dataset Guide</w:t>
      </w:r>
      <w:r/>
    </w:p>
    <w:p w14:paraId="448DBB5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Part 1. The domain</w:t>
      </w:r>
      <w:r/>
    </w:p>
    <w:p w14:paraId="337A1BF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 What a cooling system does</w:t>
      </w:r>
      <w:r/>
    </w:p>
    <w:p w14:paraId="5829725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 cooling system takes heat from process equipment (heat exchangers, condensers) and rejects it to the environment.</w:t>
      </w:r>
      <w:r>
        <w:rPr>
          <w:rFonts w:ascii="Times New Roman" w:hAnsi="Times New Roman" w:eastAsia="Times New Roman" w:cs="Times New Roman"/>
          <w:sz w:val="24"/>
        </w:rPr>
      </w:r>
    </w:p>
    <w:p w14:paraId="25A141E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0</wp:posOffset>
                </wp:positionH>
                <wp:positionV relativeFrom="paragraph">
                  <wp:posOffset>0</wp:posOffset>
                </wp:positionV>
                <wp:extent cx="3800475" cy="4772025"/>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21960" name=""/>
                        <pic:cNvPicPr>
                          <a:picLocks noChangeAspect="1"/>
                        </pic:cNvPicPr>
                        <pic:nvPr/>
                      </pic:nvPicPr>
                      <pic:blipFill rotWithShape="1">
                        <a:blip r:embed="rId9"/>
                        <a:stretch/>
                      </pic:blipFill>
                      <pic:spPr bwMode="auto">
                        <a:xfrm>
                          <a:off x="0" y="0"/>
                          <a:ext cx="3800475" cy="47720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0.00pt;mso-position-horizontal:absolute;mso-position-vertical-relative:text;margin-top:0.00pt;mso-position-vertical:absolute;width:299.25pt;height:375.75pt;mso-wrap-distance-left:9.07pt;mso-wrap-distance-top:0.00pt;mso-wrap-distance-right:9.07pt;mso-wrap-distance-bottom:0.00pt;z-index:1;" stroked="false">
                <w10:wrap type="square"/>
                <v:imagedata r:id="rId9"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9110B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Open recirculating system.</w:t>
      </w:r>
      <w:r>
        <w:rPr>
          <w:rFonts w:ascii="Times New Roman" w:hAnsi="Times New Roman" w:eastAsia="Times New Roman" w:cs="Times New Roman"/>
          <w:color w:val="000000"/>
          <w:sz w:val="24"/>
        </w:rPr>
        <w:t xml:space="preserve"> Water circulates in a closed loop between the process heat exchangers and a cooling tower. In the tower, the hot water is distributed over fill and contacted with an air stream. Most of the heat is rejected by evaporating a small fraction of the water; th</w:t>
      </w:r>
      <w:r>
        <w:rPr>
          <w:rFonts w:ascii="Times New Roman" w:hAnsi="Times New Roman" w:eastAsia="Times New Roman" w:cs="Times New Roman"/>
          <w:color w:val="000000"/>
          <w:sz w:val="24"/>
        </w:rPr>
        <w:t xml:space="preserve">e rest goes by sensible heat transfer. The cooled water returns to the process.</w:t>
      </w:r>
      <w:r/>
    </w:p>
    <w:p w14:paraId="38A3CFD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Because only pure water evaporates, all dissolved salts stay behind and concentrate in the loop. This is the single fact that generates the entire chemistry problem.</w:t>
      </w:r>
      <w:r>
        <w:rPr>
          <w:rFonts w:ascii="Times New Roman" w:hAnsi="Times New Roman" w:eastAsia="Times New Roman" w:cs="Times New Roman"/>
          <w:sz w:val="24"/>
        </w:rPr>
      </w:r>
    </w:p>
    <w:p w14:paraId="51DF34C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2072DC2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Basic streams and parameters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26"/>
        <w:gridCol w:w="8405"/>
      </w:tblGrid>
      <w:tr>
        <w:trPr/>
        <w:tc>
          <w:tcPr>
            <w:tcBorders/>
            <w:tcMar>
              <w:left w:w="15" w:type="dxa"/>
              <w:top w:w="15" w:type="dxa"/>
              <w:right w:w="15" w:type="dxa"/>
              <w:bottom w:w="15" w:type="dxa"/>
            </w:tcMar>
            <w:tcW w:w="926" w:type="dxa"/>
            <w:vAlign w:val="center"/>
          </w:tcPr>
          <w:p w14:paraId="7F8CD1A6">
            <w:pPr>
              <w:pBdr/>
              <w:spacing w:after="0" w:before="0" w:line="240"/>
              <w:ind/>
              <w:jc w:val="center"/>
              <w:rPr/>
            </w:pPr>
            <w:r>
              <w:rPr>
                <w:rFonts w:ascii="Times New Roman" w:hAnsi="Times New Roman" w:eastAsia="Times New Roman" w:cs="Times New Roman"/>
                <w:b/>
                <w:color w:val="000000"/>
                <w:sz w:val="24"/>
              </w:rPr>
              <w:t xml:space="preserve">Symbol</w:t>
            </w:r>
            <w:r/>
          </w:p>
        </w:tc>
        <w:tc>
          <w:tcPr>
            <w:tcBorders/>
            <w:tcMar>
              <w:left w:w="15" w:type="dxa"/>
              <w:top w:w="15" w:type="dxa"/>
              <w:right w:w="15" w:type="dxa"/>
              <w:bottom w:w="15" w:type="dxa"/>
            </w:tcMar>
            <w:tcW w:w="8405" w:type="dxa"/>
            <w:vAlign w:val="center"/>
          </w:tcPr>
          <w:p w14:paraId="1FBF8DA7">
            <w:pPr>
              <w:pBdr/>
              <w:spacing w:after="0" w:before="0" w:line="240"/>
              <w:ind/>
              <w:jc w:val="center"/>
              <w:rPr/>
            </w:pPr>
            <w:r>
              <w:rPr>
                <w:rFonts w:ascii="Times New Roman" w:hAnsi="Times New Roman" w:eastAsia="Times New Roman" w:cs="Times New Roman"/>
                <w:b/>
                <w:color w:val="000000"/>
                <w:sz w:val="24"/>
              </w:rPr>
              <w:t xml:space="preserve">Meaning</w:t>
            </w:r>
            <w:r/>
          </w:p>
        </w:tc>
      </w:tr>
      <w:tr>
        <w:trPr/>
        <w:tc>
          <w:tcPr>
            <w:tcBorders/>
            <w:tcMar>
              <w:left w:w="15" w:type="dxa"/>
              <w:top w:w="15" w:type="dxa"/>
              <w:right w:w="15" w:type="dxa"/>
              <w:bottom w:w="15" w:type="dxa"/>
            </w:tcMar>
            <w:tcW w:w="926" w:type="dxa"/>
            <w:vAlign w:val="center"/>
          </w:tcPr>
          <w:p w14:paraId="51CA3724">
            <w:pPr>
              <w:pBdr/>
              <w:spacing w:after="0" w:before="0" w:line="240"/>
              <w:ind/>
              <w:rPr/>
            </w:pPr>
            <w:r>
              <w:rPr>
                <w:rFonts w:ascii="Courier New" w:hAnsi="Courier New" w:eastAsia="Courier New" w:cs="Courier New"/>
                <w:color w:val="000000"/>
                <w:sz w:val="20"/>
              </w:rPr>
              <w:t xml:space="preserve">t_hot</w:t>
            </w:r>
            <w:r/>
          </w:p>
        </w:tc>
        <w:tc>
          <w:tcPr>
            <w:tcBorders/>
            <w:tcMar>
              <w:left w:w="15" w:type="dxa"/>
              <w:top w:w="15" w:type="dxa"/>
              <w:right w:w="15" w:type="dxa"/>
              <w:bottom w:w="15" w:type="dxa"/>
            </w:tcMar>
            <w:tcW w:w="8405" w:type="dxa"/>
            <w:vAlign w:val="center"/>
          </w:tcPr>
          <w:p w14:paraId="031B525D">
            <w:pPr>
              <w:pBdr/>
              <w:spacing w:after="0" w:before="0" w:line="240"/>
              <w:ind/>
              <w:rPr/>
            </w:pPr>
            <w:r>
              <w:rPr>
                <w:rFonts w:ascii="Times New Roman" w:hAnsi="Times New Roman" w:eastAsia="Times New Roman" w:cs="Times New Roman"/>
                <w:color w:val="000000"/>
                <w:sz w:val="24"/>
              </w:rPr>
              <w:t xml:space="preserve">temperature of the water returning from the process, entering the tower</w:t>
            </w:r>
            <w:r/>
          </w:p>
        </w:tc>
      </w:tr>
      <w:tr>
        <w:trPr/>
        <w:tc>
          <w:tcPr>
            <w:tcBorders/>
            <w:tcMar>
              <w:left w:w="15" w:type="dxa"/>
              <w:top w:w="15" w:type="dxa"/>
              <w:right w:w="15" w:type="dxa"/>
              <w:bottom w:w="15" w:type="dxa"/>
            </w:tcMar>
            <w:tcW w:w="926" w:type="dxa"/>
            <w:vAlign w:val="center"/>
          </w:tcPr>
          <w:p w14:paraId="61182073">
            <w:pPr>
              <w:pBdr/>
              <w:spacing w:after="0" w:before="0" w:line="240"/>
              <w:ind/>
              <w:rPr/>
            </w:pPr>
            <w:r>
              <w:rPr>
                <w:rFonts w:ascii="Courier New" w:hAnsi="Courier New" w:eastAsia="Courier New" w:cs="Courier New"/>
                <w:color w:val="000000"/>
                <w:sz w:val="20"/>
              </w:rPr>
              <w:t xml:space="preserve">t_cold</w:t>
            </w:r>
            <w:r/>
          </w:p>
        </w:tc>
        <w:tc>
          <w:tcPr>
            <w:tcBorders/>
            <w:tcMar>
              <w:left w:w="15" w:type="dxa"/>
              <w:top w:w="15" w:type="dxa"/>
              <w:right w:w="15" w:type="dxa"/>
              <w:bottom w:w="15" w:type="dxa"/>
            </w:tcMar>
            <w:tcW w:w="8405" w:type="dxa"/>
            <w:vAlign w:val="center"/>
          </w:tcPr>
          <w:p w14:paraId="43627B52">
            <w:pPr>
              <w:pBdr/>
              <w:spacing w:after="0" w:before="0" w:line="240"/>
              <w:ind/>
              <w:rPr/>
            </w:pPr>
            <w:r>
              <w:rPr>
                <w:rFonts w:ascii="Times New Roman" w:hAnsi="Times New Roman" w:eastAsia="Times New Roman" w:cs="Times New Roman"/>
                <w:color w:val="000000"/>
                <w:sz w:val="24"/>
              </w:rPr>
              <w:t xml:space="preserve">temperature of the water leaving the tower basin, going to the process</w:t>
            </w:r>
            <w:r/>
          </w:p>
        </w:tc>
      </w:tr>
      <w:tr>
        <w:trPr/>
        <w:tc>
          <w:tcPr>
            <w:tcBorders/>
            <w:tcMar>
              <w:left w:w="15" w:type="dxa"/>
              <w:top w:w="15" w:type="dxa"/>
              <w:right w:w="15" w:type="dxa"/>
              <w:bottom w:w="15" w:type="dxa"/>
            </w:tcMar>
            <w:tcW w:w="926" w:type="dxa"/>
            <w:vAlign w:val="center"/>
          </w:tcPr>
          <w:p w14:paraId="051E2D41">
            <w:pPr>
              <w:pBdr/>
              <w:spacing w:after="0" w:before="0" w:line="240"/>
              <w:ind/>
              <w:rPr/>
            </w:pPr>
            <w:r>
              <w:rPr>
                <w:rFonts w:ascii="Courier New" w:hAnsi="Courier New" w:eastAsia="Courier New" w:cs="Courier New"/>
                <w:color w:val="000000"/>
                <w:sz w:val="20"/>
              </w:rPr>
              <w:t xml:space="preserve">RR</w:t>
            </w:r>
            <w:r/>
          </w:p>
        </w:tc>
        <w:tc>
          <w:tcPr>
            <w:tcBorders/>
            <w:tcMar>
              <w:left w:w="15" w:type="dxa"/>
              <w:top w:w="15" w:type="dxa"/>
              <w:right w:w="15" w:type="dxa"/>
              <w:bottom w:w="15" w:type="dxa"/>
            </w:tcMar>
            <w:tcW w:w="8405" w:type="dxa"/>
            <w:vAlign w:val="center"/>
          </w:tcPr>
          <w:p w14:paraId="28CF02B5">
            <w:pPr>
              <w:pBdr/>
              <w:spacing w:after="0" w:before="0" w:line="240"/>
              <w:ind/>
              <w:rPr/>
            </w:pPr>
            <w:r>
              <w:rPr>
                <w:rFonts w:ascii="Times New Roman" w:hAnsi="Times New Roman" w:eastAsia="Times New Roman" w:cs="Times New Roman"/>
                <w:color w:val="000000"/>
                <w:sz w:val="24"/>
              </w:rPr>
              <w:t xml:space="preserve">recirculation rate — total water flow through the loop</w:t>
            </w:r>
            <w:r/>
          </w:p>
        </w:tc>
      </w:tr>
      <w:tr>
        <w:trPr/>
        <w:tc>
          <w:tcPr>
            <w:tcBorders/>
            <w:tcMar>
              <w:left w:w="15" w:type="dxa"/>
              <w:top w:w="15" w:type="dxa"/>
              <w:right w:w="15" w:type="dxa"/>
              <w:bottom w:w="15" w:type="dxa"/>
            </w:tcMar>
            <w:tcW w:w="926" w:type="dxa"/>
            <w:vAlign w:val="center"/>
          </w:tcPr>
          <w:p w14:paraId="4868E733">
            <w:pPr>
              <w:pBdr/>
              <w:spacing w:after="0" w:before="0" w:line="240"/>
              <w:ind/>
              <w:rPr/>
            </w:pPr>
            <w:r>
              <w:rPr>
                <w:rFonts w:ascii="Courier New" w:hAnsi="Courier New" w:eastAsia="Courier New" w:cs="Courier New"/>
                <w:color w:val="000000"/>
                <w:sz w:val="20"/>
              </w:rPr>
              <w:t xml:space="preserve">MU</w:t>
            </w:r>
            <w:r/>
          </w:p>
        </w:tc>
        <w:tc>
          <w:tcPr>
            <w:tcBorders/>
            <w:tcMar>
              <w:left w:w="15" w:type="dxa"/>
              <w:top w:w="15" w:type="dxa"/>
              <w:right w:w="15" w:type="dxa"/>
              <w:bottom w:w="15" w:type="dxa"/>
            </w:tcMar>
            <w:tcW w:w="8405" w:type="dxa"/>
            <w:vAlign w:val="center"/>
          </w:tcPr>
          <w:p w14:paraId="4436D6F1">
            <w:pPr>
              <w:pBdr/>
              <w:spacing w:after="0" w:before="0" w:line="240"/>
              <w:ind/>
              <w:rPr/>
            </w:pPr>
            <w:r>
              <w:rPr>
                <w:rFonts w:ascii="Times New Roman" w:hAnsi="Times New Roman" w:eastAsia="Times New Roman" w:cs="Times New Roman"/>
                <w:color w:val="000000"/>
                <w:sz w:val="24"/>
              </w:rPr>
              <w:t xml:space="preserve">makeup — fresh water entering the system</w:t>
            </w:r>
            <w:r/>
          </w:p>
        </w:tc>
      </w:tr>
      <w:tr>
        <w:trPr/>
        <w:tc>
          <w:tcPr>
            <w:tcBorders/>
            <w:tcMar>
              <w:left w:w="15" w:type="dxa"/>
              <w:top w:w="15" w:type="dxa"/>
              <w:right w:w="15" w:type="dxa"/>
              <w:bottom w:w="15" w:type="dxa"/>
            </w:tcMar>
            <w:tcW w:w="926" w:type="dxa"/>
            <w:vAlign w:val="center"/>
          </w:tcPr>
          <w:p w14:paraId="5010A27D">
            <w:pPr>
              <w:pBdr/>
              <w:spacing w:after="0" w:before="0" w:line="240"/>
              <w:ind/>
              <w:rPr/>
            </w:pPr>
            <w:r>
              <w:rPr>
                <w:rFonts w:ascii="Courier New" w:hAnsi="Courier New" w:eastAsia="Courier New" w:cs="Courier New"/>
                <w:color w:val="000000"/>
                <w:sz w:val="20"/>
              </w:rPr>
              <w:t xml:space="preserve">BD</w:t>
            </w:r>
            <w:r/>
          </w:p>
        </w:tc>
        <w:tc>
          <w:tcPr>
            <w:tcBorders/>
            <w:tcMar>
              <w:left w:w="15" w:type="dxa"/>
              <w:top w:w="15" w:type="dxa"/>
              <w:right w:w="15" w:type="dxa"/>
              <w:bottom w:w="15" w:type="dxa"/>
            </w:tcMar>
            <w:tcW w:w="8405" w:type="dxa"/>
            <w:vAlign w:val="center"/>
          </w:tcPr>
          <w:p w14:paraId="6E7B4D23">
            <w:pPr>
              <w:pBdr/>
              <w:spacing w:after="0" w:before="0" w:line="240"/>
              <w:ind/>
              <w:rPr/>
            </w:pPr>
            <w:r>
              <w:rPr>
                <w:rFonts w:ascii="Times New Roman" w:hAnsi="Times New Roman" w:eastAsia="Times New Roman" w:cs="Times New Roman"/>
                <w:color w:val="000000"/>
                <w:sz w:val="24"/>
              </w:rPr>
              <w:t xml:space="preserve">blowdown — all water leaving the system in liquid form</w:t>
            </w:r>
            <w:r/>
          </w:p>
        </w:tc>
      </w:tr>
      <w:tr>
        <w:trPr/>
        <w:tc>
          <w:tcPr>
            <w:tcBorders/>
            <w:tcMar>
              <w:left w:w="15" w:type="dxa"/>
              <w:top w:w="15" w:type="dxa"/>
              <w:right w:w="15" w:type="dxa"/>
              <w:bottom w:w="15" w:type="dxa"/>
            </w:tcMar>
            <w:tcW w:w="926" w:type="dxa"/>
            <w:vAlign w:val="center"/>
          </w:tcPr>
          <w:p w14:paraId="4C5CC45C">
            <w:pPr>
              <w:pBdr/>
              <w:spacing w:after="0" w:before="0" w:line="240"/>
              <w:ind/>
              <w:rPr/>
            </w:pPr>
            <w:r>
              <w:rPr>
                <w:rFonts w:ascii="Courier New" w:hAnsi="Courier New" w:eastAsia="Courier New" w:cs="Courier New"/>
                <w:color w:val="000000"/>
                <w:sz w:val="20"/>
              </w:rPr>
              <w:t xml:space="preserve">E</w:t>
            </w:r>
            <w:r/>
          </w:p>
        </w:tc>
        <w:tc>
          <w:tcPr>
            <w:tcBorders/>
            <w:tcMar>
              <w:left w:w="15" w:type="dxa"/>
              <w:top w:w="15" w:type="dxa"/>
              <w:right w:w="15" w:type="dxa"/>
              <w:bottom w:w="15" w:type="dxa"/>
            </w:tcMar>
            <w:tcW w:w="8405" w:type="dxa"/>
            <w:vAlign w:val="center"/>
          </w:tcPr>
          <w:p w14:paraId="0234805E">
            <w:pPr>
              <w:pBdr/>
              <w:spacing w:after="0" w:before="0" w:line="240"/>
              <w:ind/>
              <w:rPr/>
            </w:pPr>
            <w:r>
              <w:rPr>
                <w:rFonts w:ascii="Times New Roman" w:hAnsi="Times New Roman" w:eastAsia="Times New Roman" w:cs="Times New Roman"/>
                <w:color w:val="000000"/>
                <w:sz w:val="24"/>
              </w:rPr>
              <w:t xml:space="preserve">evaporation — water leaving in vapour form</w:t>
            </w:r>
            <w:r/>
          </w:p>
        </w:tc>
      </w:tr>
      <w:tr>
        <w:trPr/>
        <w:tc>
          <w:tcPr>
            <w:tcBorders/>
            <w:tcMar>
              <w:left w:w="15" w:type="dxa"/>
              <w:top w:w="15" w:type="dxa"/>
              <w:right w:w="15" w:type="dxa"/>
              <w:bottom w:w="15" w:type="dxa"/>
            </w:tcMar>
            <w:tcW w:w="926" w:type="dxa"/>
            <w:vAlign w:val="center"/>
          </w:tcPr>
          <w:p w14:paraId="003FF648">
            <w:pPr>
              <w:pBdr/>
              <w:spacing w:after="0" w:before="0" w:line="240"/>
              <w:ind/>
              <w:rPr/>
            </w:pPr>
            <w:r>
              <w:rPr>
                <w:rFonts w:ascii="Times New Roman" w:hAnsi="Times New Roman" w:eastAsia="Times New Roman" w:cs="Times New Roman"/>
                <w:color w:val="000000"/>
                <w:sz w:val="24"/>
              </w:rPr>
              <w:t xml:space="preserve">Heat load</w:t>
            </w:r>
            <w:r/>
          </w:p>
        </w:tc>
        <w:tc>
          <w:tcPr>
            <w:tcBorders/>
            <w:tcMar>
              <w:left w:w="15" w:type="dxa"/>
              <w:top w:w="15" w:type="dxa"/>
              <w:right w:w="15" w:type="dxa"/>
              <w:bottom w:w="15" w:type="dxa"/>
            </w:tcMar>
            <w:tcW w:w="8405" w:type="dxa"/>
            <w:vAlign w:val="center"/>
          </w:tcPr>
          <w:p w14:paraId="65328803">
            <w:pPr>
              <w:pBdr/>
              <w:spacing w:after="0" w:before="0" w:line="240"/>
              <w:ind/>
              <w:rPr/>
            </w:pPr>
            <w:r>
              <w:rPr>
                <w:rFonts w:ascii="Times New Roman" w:hAnsi="Times New Roman" w:eastAsia="Times New Roman" w:cs="Times New Roman"/>
                <w:color w:val="000000"/>
                <w:sz w:val="24"/>
              </w:rPr>
              <w:t xml:space="preserve">heat rejected to the environment</w:t>
            </w:r>
            <w:r/>
          </w:p>
        </w:tc>
      </w:tr>
    </w:tbl>
    <w:p w14:paraId="56EDA3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Blowdown has three components, and only the first one is metered:</w:t>
      </w:r>
      <w:r/>
    </w:p>
    <w:p w14:paraId="7643BC8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controlled blowdown</w:t>
      </w:r>
      <w:r>
        <w:rPr>
          <w:rFonts w:ascii="Times New Roman" w:hAnsi="Times New Roman" w:eastAsia="Times New Roman" w:cs="Times New Roman"/>
          <w:color w:val="000000"/>
          <w:sz w:val="24"/>
        </w:rPr>
        <w:t xml:space="preserve"> — a valve, deliberately opened to keep salinity down;</w:t>
      </w:r>
      <w:r/>
    </w:p>
    <w:p w14:paraId="758B0C4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uncontrolled blowdown</w:t>
      </w:r>
      <w:r>
        <w:rPr>
          <w:rFonts w:ascii="Times New Roman" w:hAnsi="Times New Roman" w:eastAsia="Times New Roman" w:cs="Times New Roman"/>
          <w:color w:val="000000"/>
          <w:sz w:val="24"/>
        </w:rPr>
        <w:t xml:space="preserve"> — leaks;</w:t>
      </w:r>
      <w:r/>
    </w:p>
    <w:p w14:paraId="5D7893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drift</w:t>
      </w:r>
      <w:r>
        <w:rPr>
          <w:rFonts w:ascii="Times New Roman" w:hAnsi="Times New Roman" w:eastAsia="Times New Roman" w:cs="Times New Roman"/>
          <w:color w:val="000000"/>
          <w:sz w:val="24"/>
        </w:rPr>
        <w:t xml:space="preserve"> — droplets carried out with the air stream past the demister.</w:t>
      </w:r>
      <w:r/>
    </w:p>
    <w:p w14:paraId="3A55B92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Core equations</w:t>
      </w:r>
      <w:r/>
    </w:p>
    <w:p w14:paraId="68599D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Heat load:</w:t>
      </w:r>
      <w:r/>
    </w:p>
    <w:p w14:paraId="22E641E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Q = </w:t>
      </w:r>
      <w:r>
        <w:rPr>
          <w:rFonts w:ascii="Times New Roman" w:hAnsi="Times New Roman" w:eastAsia="Times New Roman" w:cs="Times New Roman"/>
          <w:color w:val="000000"/>
          <w:sz w:val="24"/>
        </w:rPr>
        <w:t xml:space="preserve">Cp *  (T_hot - T_cold) * RR</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221953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Evaporation (simple engineering correlation; a rigorous value comes from Poppe theory):</w:t>
      </w:r>
      <w:r/>
    </w:p>
    <w:p w14:paraId="274F87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 (0.575 + 0.011 * Tair) * (T_hot- T_cold) * RR/580</w:t>
      </w:r>
      <w:r/>
    </w:p>
    <w:p w14:paraId="518B96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Water balance:</w:t>
      </w:r>
      <w:r/>
    </w:p>
    <w:p w14:paraId="0B77E1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 = E + BD</w:t>
      </w:r>
      <w:r/>
    </w:p>
    <w:p w14:paraId="7C8126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Cycles of concentration — how many times the makeup salinity has been concentrated in the loop:</w:t>
      </w:r>
      <w:r/>
    </w:p>
    <w:p w14:paraId="7F4708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cycles =MU/BD</w:t>
      </w:r>
      <w:r/>
    </w:p>
    <w:p w14:paraId="15F0C1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Salt balance, where C is concentration and </w:t>
      </w:r>
      <w:r>
        <w:rPr>
          <w:rFonts w:ascii="Times New Roman" w:hAnsi="Times New Roman" w:eastAsia="Times New Roman" w:cs="Times New Roman"/>
          <w:i/>
          <w:color w:val="000000"/>
          <w:sz w:val="24"/>
        </w:rPr>
        <w:t xml:space="preserve">Retention</w:t>
      </w:r>
      <w:r>
        <w:rPr>
          <w:rFonts w:ascii="Times New Roman" w:hAnsi="Times New Roman" w:eastAsia="Times New Roman" w:cs="Times New Roman"/>
          <w:color w:val="000000"/>
          <w:sz w:val="24"/>
        </w:rPr>
        <w:t xml:space="preserve"> is the fraction of an ion that actually leaves in the blowdown rather than depositing in the system:</w:t>
      </w:r>
      <w:r/>
    </w:p>
    <w:p w14:paraId="725687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 * C_MU = BD * C_RR * Retention</w:t>
      </w:r>
      <w:r/>
    </w:p>
    <w:p w14:paraId="458CA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retention is 100 % for a given ion, cycles can equivalently be obtained from chemistry:</w:t>
      </w:r>
      <w:r/>
    </w:p>
    <w:p w14:paraId="699DED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cycles = MU/BD = C_RR/C_MU</w:t>
      </w:r>
      <w:r/>
    </w:p>
    <w:p w14:paraId="503695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Practical note on which method to trust.</w:t>
      </w:r>
      <w:r>
        <w:rPr>
          <w:rFonts w:ascii="Times New Roman" w:hAnsi="Times New Roman" w:eastAsia="Times New Roman" w:cs="Times New Roman"/>
          <w:color w:val="000000"/>
          <w:sz w:val="24"/>
        </w:rPr>
        <w:t xml:space="preserve"> Cycles computed from flows is the honest number, but </w:t>
      </w:r>
      <w:r>
        <w:rPr>
          <w:rFonts w:ascii="Times New Roman" w:hAnsi="Times New Roman" w:eastAsia="Times New Roman" w:cs="Times New Roman"/>
          <w:color w:val="000000"/>
          <w:sz w:val="24"/>
        </w:rPr>
        <w:t xml:space="preserve">  BD is often poorly known. Cycles computed from chemistry requires an ion that is truly conservative. Chloride is the usual choice — but not when sodium hypochlorite is dosed, because that introduces a second chloride source. Silica is usually conservative; c</w:t>
      </w:r>
      <w:r>
        <w:rPr>
          <w:rFonts w:ascii="Times New Roman" w:hAnsi="Times New Roman" w:eastAsia="Times New Roman" w:cs="Times New Roman"/>
          <w:color w:val="000000"/>
          <w:sz w:val="24"/>
        </w:rPr>
        <w:t xml:space="preserve">alcium and alkalinity are not, because they precipitate. In practice the best route is: compute </w:t>
      </w:r>
      <w:r>
        <w:rPr>
          <w:rFonts w:ascii="Courier New" w:hAnsi="Courier New" w:eastAsia="Courier New" w:cs="Courier New"/>
          <w:color w:val="000000"/>
          <w:sz w:val="20"/>
        </w:rPr>
        <w:t xml:space="preserve">E</w:t>
      </w:r>
      <w:r>
        <w:rPr>
          <w:rFonts w:ascii="Times New Roman" w:hAnsi="Times New Roman" w:eastAsia="Times New Roman" w:cs="Times New Roman"/>
          <w:color w:val="000000"/>
          <w:sz w:val="24"/>
        </w:rPr>
        <w:t xml:space="preserve"> from the correlation, get </w:t>
      </w:r>
      <w:r>
        <w:rPr>
          <w:rFonts w:ascii="Courier New" w:hAnsi="Courier New" w:eastAsia="Courier New" w:cs="Courier New"/>
          <w:color w:val="000000"/>
          <w:sz w:val="20"/>
        </w:rPr>
        <w:t xml:space="preserve">BD</w:t>
      </w:r>
      <w:r>
        <w:rPr>
          <w:rFonts w:ascii="Times New Roman" w:hAnsi="Times New Roman" w:eastAsia="Times New Roman" w:cs="Times New Roman"/>
          <w:color w:val="000000"/>
          <w:sz w:val="24"/>
        </w:rPr>
        <w:t xml:space="preserve"> from the water balance, and cross-check against a conservative ion.</w:t>
      </w:r>
      <w:r/>
    </w:p>
    <w:p w14:paraId="08F608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Comparing cycles-by-flow against cycles-by-ion is itself a measurement: </w:t>
      </w:r>
      <w:r>
        <w:rPr>
          <w:rFonts w:ascii="Times New Roman" w:hAnsi="Times New Roman" w:eastAsia="Times New Roman" w:cs="Times New Roman"/>
          <w:b/>
          <w:color w:val="000000"/>
          <w:sz w:val="24"/>
        </w:rPr>
        <w:t xml:space="preserve">retention &lt; 1 means the ion is being lost to scale.</w:t>
      </w:r>
      <w:r/>
    </w:p>
    <w:p w14:paraId="4A6921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Holding time index — the time needed to replace half the water in the system:</w:t>
      </w:r>
      <w:r/>
    </w:p>
    <w:p w14:paraId="0A575E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$$HTI =ln 2*V/BD</w:t>
      </w:r>
      <w:r/>
    </w:p>
    <w:p w14:paraId="79FA10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Below ~24 h, water chemistry is hard to hold: one dosing-pump stoppage and the inhibitor residual collapses. Above ~100 h, water sits in the system long enough that some chemicals degrade and lose performance.</w:t>
      </w:r>
      <w:r/>
    </w:p>
    <w:p w14:paraId="168426C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1.2 Judging cooling tower performance</w:t>
      </w:r>
      <w:r/>
    </w:p>
    <w:p w14:paraId="743D53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ΔT = t_hot − t_cold</w:t>
      </w:r>
      <w:r>
        <w:rPr>
          <w:rFonts w:ascii="Times New Roman" w:hAnsi="Times New Roman" w:eastAsia="Times New Roman" w:cs="Times New Roman"/>
          <w:color w:val="000000"/>
          <w:sz w:val="24"/>
        </w:rPr>
        <w:t xml:space="preserve"> is often mistaken for an efficiency measure. It is not, because two devices are in series. The tower cannot reject more heat than the process delivers. But if the tower performs badly, </w:t>
      </w:r>
      <w:r>
        <w:rPr>
          <w:rFonts w:ascii="Courier New" w:hAnsi="Courier New" w:eastAsia="Courier New" w:cs="Courier New"/>
          <w:color w:val="000000"/>
          <w:sz w:val="20"/>
        </w:rPr>
        <w:t xml:space="preserve">t_cold</w:t>
      </w:r>
      <w:r>
        <w:rPr>
          <w:rFonts w:ascii="Times New Roman" w:hAnsi="Times New Roman" w:eastAsia="Times New Roman" w:cs="Times New Roman"/>
          <w:color w:val="000000"/>
          <w:sz w:val="24"/>
        </w:rPr>
        <w:t xml:space="preserve"> rises, the heat exchangers transfer less, and </w:t>
      </w:r>
      <w:r>
        <w:rPr>
          <w:rFonts w:ascii="Courier New" w:hAnsi="Courier New" w:eastAsia="Courier New" w:cs="Courier New"/>
          <w:color w:val="000000"/>
          <w:sz w:val="20"/>
        </w:rPr>
        <w:t xml:space="preserve">ΔT</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falls</w:t>
      </w:r>
      <w:r>
        <w:rPr>
          <w:rFonts w:ascii="Times New Roman" w:hAnsi="Times New Roman" w:eastAsia="Times New Roman" w:cs="Times New Roman"/>
          <w:color w:val="000000"/>
          <w:sz w:val="24"/>
        </w:rPr>
        <w:t xml:space="preserve">. So a low </w:t>
      </w:r>
      <w:r>
        <w:rPr>
          <w:rFonts w:ascii="Courier New" w:hAnsi="Courier New" w:eastAsia="Courier New" w:cs="Courier New"/>
          <w:color w:val="000000"/>
          <w:sz w:val="20"/>
        </w:rPr>
        <w:t xml:space="preserve">ΔT</w:t>
      </w:r>
      <w:r>
        <w:rPr>
          <w:rFonts w:ascii="Times New Roman" w:hAnsi="Times New Roman" w:eastAsia="Times New Roman" w:cs="Times New Roman"/>
          <w:color w:val="000000"/>
          <w:sz w:val="24"/>
        </w:rPr>
        <w:t xml:space="preserve"> is ambiguous: it may mean a tower problem, or simply a lower process heat load. The two cases must be separated using external information (weather, process load).</w:t>
      </w:r>
      <w:r/>
    </w:p>
    <w:p w14:paraId="5EE502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proper measure uses the wet-bulb temperature </w:t>
      </w:r>
      <w:r>
        <w:rPr>
          <w:rFonts w:ascii="Courier New" w:hAnsi="Courier New" w:eastAsia="Courier New" w:cs="Courier New"/>
          <w:color w:val="000000"/>
          <w:sz w:val="20"/>
        </w:rPr>
        <w:t xml:space="preserve">T_wb</w:t>
      </w:r>
      <w:r>
        <w:rPr>
          <w:rFonts w:ascii="Times New Roman" w:hAnsi="Times New Roman" w:eastAsia="Times New Roman" w:cs="Times New Roman"/>
          <w:color w:val="000000"/>
          <w:sz w:val="24"/>
        </w:rPr>
        <w:t xml:space="preserve">, which is the thermodynamic floor for </w:t>
      </w:r>
      <w:r>
        <w:rPr>
          <w:rFonts w:ascii="Courier New" w:hAnsi="Courier New" w:eastAsia="Courier New" w:cs="Courier New"/>
          <w:color w:val="000000"/>
          <w:sz w:val="20"/>
        </w:rPr>
        <w:t xml:space="preserve">t_cold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T_wb</w:t>
      </w:r>
      <w:r>
        <w:rPr>
          <w:rFonts w:ascii="Times New Roman" w:hAnsi="Times New Roman" w:eastAsia="Times New Roman" w:cs="Times New Roman"/>
          <w:color w:val="000000"/>
          <w:sz w:val="24"/>
        </w:rPr>
        <w:t xml:space="preserve"> is computed from air temperature, humidity and pressure (the CoolProp library does this).</w:t>
      </w:r>
      <w:r/>
    </w:p>
    <w:p w14:paraId="5F2375E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Approach</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t_cold − T_wb</w:t>
      </w:r>
      <w:r>
        <w:rPr>
          <w:rFonts w:ascii="Times New Roman" w:hAnsi="Times New Roman" w:eastAsia="Times New Roman" w:cs="Times New Roman"/>
          <w:color w:val="000000"/>
          <w:sz w:val="24"/>
        </w:rPr>
        <w:t xml:space="preserve">. Typical summer values: 3–7 °C.</w:t>
      </w:r>
      <w:r/>
    </w:p>
    <w:p w14:paraId="02CEF70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Effectiveness</w:t>
      </w:r>
      <w:r>
        <w:rPr>
          <w:rFonts w:ascii="Times New Roman" w:hAnsi="Times New Roman" w:eastAsia="Times New Roman" w:cs="Times New Roman"/>
          <w:color w:val="000000"/>
          <w:sz w:val="24"/>
        </w:rPr>
        <w:t xml:space="preserve"> = $\dfrac{T_{hot} - T_{cold}}{T_{hot} - T_{wb}}$. Typical summer values: 60–80 %.</w:t>
      </w:r>
      <w:r/>
    </w:p>
    <w:p w14:paraId="1FE8458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 more fundamental description is the NTU of the tower (Merkel, or the more advanced Poppe method), which depends on the L/G ratio — kg of water per kg of dry air through the tower.</w:t>
      </w:r>
      <w:r>
        <w:rPr>
          <w:rFonts w:ascii="Times New Roman" w:hAnsi="Times New Roman" w:eastAsia="Times New Roman" w:cs="Times New Roman"/>
          <w:sz w:val="24"/>
        </w:rPr>
      </w:r>
    </w:p>
    <w:p w14:paraId="5E9350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NTU = C * LG^(n)</w:t>
      </w:r>
      <w:r>
        <w:rPr>
          <w:rFonts w:ascii="Times New Roman" w:hAnsi="Times New Roman" w:eastAsia="Times New Roman" w:cs="Times New Roman"/>
          <w:sz w:val="24"/>
          <w:szCs w:val="24"/>
        </w:rPr>
      </w:r>
    </w:p>
    <w:p w14:paraId="066502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n – is more or less stable value, C - characteristic of filling of cooling tower. When cooling tower is fouled, C decreases</w:t>
      </w:r>
      <w:r>
        <w:rPr>
          <w:rFonts w:ascii="Times New Roman" w:hAnsi="Times New Roman" w:eastAsia="Times New Roman" w:cs="Times New Roman"/>
          <w:color w:val="000000"/>
          <w:sz w:val="24"/>
          <w:highlight w:val="none"/>
        </w:rPr>
      </w:r>
    </w:p>
    <w:p w14:paraId="72E0D0D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1.3 Judging heat exchanger performance</w:t>
      </w:r>
      <w:r/>
    </w:p>
    <w:p w14:paraId="47C304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Q = U * A * LMTD</w:t>
      </w:r>
      <w:r>
        <w:rPr>
          <w:rFonts w:ascii="Times New Roman" w:hAnsi="Times New Roman" w:eastAsia="Times New Roman" w:cs="Times New Roman"/>
          <w:sz w:val="24"/>
        </w:rPr>
      </w:r>
    </w:p>
    <w:p w14:paraId="04D7AE7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AD99AC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LMTD = (Delta T_2 - \Delta T_1)/(ln(Delta T_2 / Delta T_1)</w:t>
      </w:r>
      <w:r/>
      <w:r/>
    </w:p>
    <w:p w14:paraId="1F0367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Delta T_1, Delta T_2 are the hot/cold stream temperature differences at the two ends of the exchanger, </w:t>
      </w:r>
      <w:r>
        <w:rPr>
          <w:rFonts w:ascii="Courier New" w:hAnsi="Courier New" w:eastAsia="Courier New" w:cs="Courier New"/>
          <w:color w:val="000000"/>
          <w:sz w:val="20"/>
        </w:rPr>
        <w:t xml:space="preserve">A</w:t>
      </w:r>
      <w:r>
        <w:rPr>
          <w:rFonts w:ascii="Times New Roman" w:hAnsi="Times New Roman" w:eastAsia="Times New Roman" w:cs="Times New Roman"/>
          <w:color w:val="000000"/>
          <w:sz w:val="24"/>
        </w:rPr>
        <w:t xml:space="preserve"> is the heat transfer area and </w:t>
      </w:r>
      <w:r>
        <w:rPr>
          <w:rFonts w:ascii="Courier New" w:hAnsi="Courier New" w:eastAsia="Courier New" w:cs="Courier New"/>
          <w:color w:val="000000"/>
          <w:sz w:val="20"/>
        </w:rPr>
        <w:t xml:space="preserve">U</w:t>
      </w:r>
      <w:r>
        <w:rPr>
          <w:rFonts w:ascii="Times New Roman" w:hAnsi="Times New Roman" w:eastAsia="Times New Roman" w:cs="Times New Roman"/>
          <w:color w:val="000000"/>
          <w:sz w:val="24"/>
        </w:rPr>
        <w:t xml:space="preserve"> the overall heat transfer coefficient.</w:t>
      </w:r>
      <w:r/>
    </w:p>
    <w:p w14:paraId="2CE874E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One cooling loop typically serves many heat exchangers, and usually not all of them are instrumented. But wherever temperatures and water flow are known, </w:t>
      </w:r>
      <w:r>
        <w:rPr>
          <w:rFonts w:ascii="Courier New" w:hAnsi="Courier New" w:eastAsia="Courier New" w:cs="Courier New"/>
          <w:color w:val="000000"/>
          <w:sz w:val="20"/>
        </w:rPr>
        <w:t xml:space="preserve">Q</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LMTD</w:t>
      </w:r>
      <w:r>
        <w:rPr>
          <w:rFonts w:ascii="Times New Roman" w:hAnsi="Times New Roman" w:eastAsia="Times New Roman" w:cs="Times New Roman"/>
          <w:color w:val="000000"/>
          <w:sz w:val="24"/>
        </w:rPr>
        <w:t xml:space="preserve"> follow, and therefore </w:t>
      </w:r>
      <w:r>
        <w:rPr>
          <w:rFonts w:ascii="Courier New" w:hAnsi="Courier New" w:eastAsia="Courier New" w:cs="Courier New"/>
          <w:color w:val="000000"/>
          <w:sz w:val="20"/>
        </w:rPr>
        <w:t xml:space="preserve">U·A</w:t>
      </w:r>
      <w:r>
        <w:rPr>
          <w:rFonts w:ascii="Times New Roman" w:hAnsi="Times New Roman" w:eastAsia="Times New Roman" w:cs="Times New Roman"/>
          <w:color w:val="000000"/>
          <w:sz w:val="24"/>
        </w:rPr>
        <w:t xml:space="preserve">. Since </w:t>
      </w:r>
      <w:r>
        <w:rPr>
          <w:rFonts w:ascii="Courier New" w:hAnsi="Courier New" w:eastAsia="Courier New" w:cs="Courier New"/>
          <w:color w:val="000000"/>
          <w:sz w:val="20"/>
        </w:rPr>
        <w:t xml:space="preserve">A</w:t>
      </w:r>
      <w:r>
        <w:rPr>
          <w:rFonts w:ascii="Times New Roman" w:hAnsi="Times New Roman" w:eastAsia="Times New Roman" w:cs="Times New Roman"/>
          <w:color w:val="000000"/>
          <w:sz w:val="24"/>
        </w:rPr>
        <w:t xml:space="preserve"> is fixed, </w:t>
      </w:r>
      <w:r>
        <w:rPr>
          <w:rFonts w:ascii="Times New Roman" w:hAnsi="Times New Roman" w:eastAsia="Times New Roman" w:cs="Times New Roman"/>
          <w:b/>
          <w:color w:val="000000"/>
          <w:sz w:val="24"/>
        </w:rPr>
        <w:t xml:space="preserve">the trend of </w:t>
      </w:r>
      <w:r>
        <w:rPr>
          <w:rFonts w:ascii="Courier New" w:hAnsi="Courier New" w:eastAsia="Courier New" w:cs="Courier New"/>
          <w:b/>
          <w:color w:val="000000"/>
          <w:sz w:val="20"/>
        </w:rPr>
        <w:t xml:space="preserve">U·A</w:t>
      </w:r>
      <w:r>
        <w:rPr>
          <w:rFonts w:ascii="Times New Roman" w:hAnsi="Times New Roman" w:eastAsia="Times New Roman" w:cs="Times New Roman"/>
          <w:b/>
          <w:color w:val="000000"/>
          <w:sz w:val="24"/>
        </w:rPr>
        <w:t xml:space="preserve"> over time is a direct measure of how clean the exchanger is.</w:t>
      </w:r>
      <w:r>
        <w:rPr>
          <w:rFonts w:ascii="Times New Roman" w:hAnsi="Times New Roman" w:eastAsia="Times New Roman" w:cs="Times New Roman"/>
          <w:color w:val="000000"/>
          <w:sz w:val="24"/>
        </w:rPr>
        <w:t xml:space="preserve"> A steady decline is fouling or scaling. This is one of the most valuable derived signals in the whole domain.</w:t>
      </w:r>
      <w:r>
        <w:rPr>
          <w:rFonts w:ascii="Times New Roman" w:hAnsi="Times New Roman" w:eastAsia="Times New Roman" w:cs="Times New Roman"/>
          <w:sz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61EC06A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1.4 What goes wrong</w:t>
      </w:r>
      <w:r/>
    </w:p>
    <w:p w14:paraId="39C316E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Corrosion.</w:t>
      </w:r>
      <w:r>
        <w:rPr>
          <w:rFonts w:ascii="Times New Roman" w:hAnsi="Times New Roman" w:eastAsia="Times New Roman" w:cs="Times New Roman"/>
          <w:color w:val="000000"/>
          <w:sz w:val="24"/>
        </w:rPr>
        <w:t xml:space="preserve"> Carbon steel, copper and stainless steel oxidise in water. Beyond the equipment damage, the corrosion products themselves foul heat exchangers, and dissolved iron degrades scale-inhibitor performance. So corrosion feeds back into the other failure modes.</w:t>
      </w:r>
      <w:r/>
    </w:p>
    <w:p w14:paraId="7DDE05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Scale.</w:t>
      </w:r>
      <w:r>
        <w:rPr>
          <w:rFonts w:ascii="Times New Roman" w:hAnsi="Times New Roman" w:eastAsia="Times New Roman" w:cs="Times New Roman"/>
          <w:color w:val="000000"/>
          <w:sz w:val="24"/>
        </w:rPr>
        <w:t xml:space="preserve"> Minerals dissolved in the makeup water become insoluble under loop conditions (higher concentration, higher skin temperature) and deposit on heat transfer surfaces.</w:t>
      </w:r>
      <w:r/>
    </w:p>
    <w:p w14:paraId="3D03AEF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Fouling.</w:t>
      </w:r>
      <w:r>
        <w:rPr>
          <w:rFonts w:ascii="Times New Roman" w:hAnsi="Times New Roman" w:eastAsia="Times New Roman" w:cs="Times New Roman"/>
          <w:color w:val="000000"/>
          <w:sz w:val="24"/>
        </w:rPr>
        <w:t xml:space="preserve"> Insoluble solids from the makeup water, corrosion products and oil leaks accumulate in exchangers.</w:t>
      </w:r>
      <w:r/>
    </w:p>
    <w:p w14:paraId="6781664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Biological activity.</w:t>
      </w:r>
      <w:r>
        <w:rPr>
          <w:rFonts w:ascii="Times New Roman" w:hAnsi="Times New Roman" w:eastAsia="Times New Roman" w:cs="Times New Roman"/>
          <w:color w:val="000000"/>
          <w:sz w:val="24"/>
        </w:rPr>
        <w:t xml:space="preserve"> Bacteria - the </w:t>
      </w:r>
      <w:r>
        <w:rPr>
          <w:rFonts w:ascii="Times New Roman" w:hAnsi="Times New Roman" w:eastAsia="Times New Roman" w:cs="Times New Roman"/>
          <w:i/>
          <w:color w:val="000000"/>
          <w:sz w:val="24"/>
        </w:rPr>
        <w:t xml:space="preserve">sessile</w:t>
      </w:r>
      <w:r>
        <w:rPr>
          <w:rFonts w:ascii="Times New Roman" w:hAnsi="Times New Roman" w:eastAsia="Times New Roman" w:cs="Times New Roman"/>
          <w:color w:val="000000"/>
          <w:sz w:val="24"/>
        </w:rPr>
        <w:t xml:space="preserve"> ones forming biofilm, not the planktonic ones floating in the bulk water - create biofouling, which in turn accelerates both scale and corrosion.</w:t>
      </w:r>
      <w:r/>
    </w:p>
    <w:p w14:paraId="21150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four are coupled, which is why single-variable models tend to disappoint.</w:t>
      </w:r>
      <w:r/>
    </w:p>
    <w:p w14:paraId="2CF49BD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1.5 Treatment chemicals and their dosing logic</w:t>
      </w:r>
      <w:r/>
    </w:p>
    <w:p w14:paraId="552041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dosing basis differs by chemical type, and this matters for feature engineering -  a kg/day figure means different things for different products.</w:t>
      </w:r>
      <w:r/>
    </w:p>
    <w:p w14:paraId="538C0A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Scale and corrosion inhibitors</w:t>
      </w:r>
      <w:r>
        <w:rPr>
          <w:rFonts w:ascii="Times New Roman" w:hAnsi="Times New Roman" w:eastAsia="Times New Roman" w:cs="Times New Roman"/>
          <w:color w:val="000000"/>
          <w:sz w:val="24"/>
        </w:rPr>
        <w:t xml:space="preserve"> — inorganic phosphates, organophosphates, zinc, or film-forming compounds. Dosed proportionally to </w:t>
      </w:r>
      <w:r>
        <w:rPr>
          <w:rFonts w:ascii="Times New Roman" w:hAnsi="Times New Roman" w:eastAsia="Times New Roman" w:cs="Times New Roman"/>
          <w:b/>
          <w:color w:val="000000"/>
          <w:sz w:val="24"/>
        </w:rPr>
        <w:t xml:space="preserve">blowdown</w:t>
      </w:r>
      <w:r>
        <w:rPr>
          <w:rFonts w:ascii="Times New Roman" w:hAnsi="Times New Roman" w:eastAsia="Times New Roman" w:cs="Times New Roman"/>
          <w:color w:val="000000"/>
          <w:sz w:val="24"/>
        </w:rPr>
        <w:t xml:space="preserve">; the control target is a constant measured residual in the loop.</w:t>
      </w:r>
      <w:r/>
    </w:p>
    <w:p w14:paraId="5D1092B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Dispersants</w:t>
      </w:r>
      <w:r>
        <w:rPr>
          <w:rFonts w:ascii="Times New Roman" w:hAnsi="Times New Roman" w:eastAsia="Times New Roman" w:cs="Times New Roman"/>
          <w:color w:val="000000"/>
          <w:sz w:val="24"/>
        </w:rPr>
        <w:t xml:space="preserve"> -  keep foulants suspended. Dosed on </w:t>
      </w:r>
      <w:r>
        <w:rPr>
          <w:rFonts w:ascii="Times New Roman" w:hAnsi="Times New Roman" w:eastAsia="Times New Roman" w:cs="Times New Roman"/>
          <w:b/>
          <w:color w:val="000000"/>
          <w:sz w:val="24"/>
        </w:rPr>
        <w:t xml:space="preserve">blowdown or makeup</w:t>
      </w:r>
      <w:r>
        <w:rPr>
          <w:rFonts w:ascii="Times New Roman" w:hAnsi="Times New Roman" w:eastAsia="Times New Roman" w:cs="Times New Roman"/>
          <w:color w:val="000000"/>
          <w:sz w:val="24"/>
        </w:rPr>
        <w:t xml:space="preserve">, either continuously or as slug doses.</w:t>
      </w:r>
      <w:r/>
    </w:p>
    <w:p w14:paraId="4FDA15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Biocides:</w:t>
      </w:r>
      <w:r/>
    </w:p>
    <w:p w14:paraId="03934422">
      <w:pPr>
        <w:pStyle w:val="668"/>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Non-oxidising</w:t>
      </w:r>
      <w:r>
        <w:rPr>
          <w:rFonts w:ascii="Times New Roman" w:hAnsi="Times New Roman" w:eastAsia="Times New Roman" w:cs="Times New Roman"/>
          <w:color w:val="000000"/>
          <w:sz w:val="24"/>
        </w:rPr>
        <w:t xml:space="preserve"> (organic). Bacteria can develop tolerance, so these are dosed periodically as slugs, sized on </w:t>
      </w:r>
      <w:r>
        <w:rPr>
          <w:rFonts w:ascii="Times New Roman" w:hAnsi="Times New Roman" w:eastAsia="Times New Roman" w:cs="Times New Roman"/>
          <w:b/>
          <w:color w:val="000000"/>
          <w:sz w:val="24"/>
        </w:rPr>
        <w:t xml:space="preserve">system volume</w:t>
      </w:r>
      <w:r>
        <w:rPr>
          <w:rFonts w:ascii="Times New Roman" w:hAnsi="Times New Roman" w:eastAsia="Times New Roman" w:cs="Times New Roman"/>
          <w:color w:val="000000"/>
          <w:sz w:val="24"/>
        </w:rPr>
        <w:t xml:space="preserve">, aiming to reach a kill concentration for a contact time.</w:t>
      </w:r>
      <w:r/>
    </w:p>
    <w:p w14:paraId="7C7C2B26">
      <w:pPr>
        <w:pStyle w:val="668"/>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Oxidising</w:t>
      </w:r>
      <w:r>
        <w:rPr>
          <w:rFonts w:ascii="Times New Roman" w:hAnsi="Times New Roman" w:eastAsia="Times New Roman" w:cs="Times New Roman"/>
          <w:color w:val="000000"/>
          <w:sz w:val="24"/>
        </w:rPr>
        <w:t xml:space="preserve"> (hypochlorite, chlorine dioxide, hydrogen peroxide). Dosed continuously against </w:t>
      </w:r>
      <w:r>
        <w:rPr>
          <w:rFonts w:ascii="Times New Roman" w:hAnsi="Times New Roman" w:eastAsia="Times New Roman" w:cs="Times New Roman"/>
          <w:b/>
          <w:color w:val="000000"/>
          <w:sz w:val="24"/>
        </w:rPr>
        <w:t xml:space="preserve">recirculation rate</w:t>
      </w:r>
      <w:r>
        <w:rPr>
          <w:rFonts w:ascii="Times New Roman" w:hAnsi="Times New Roman" w:eastAsia="Times New Roman" w:cs="Times New Roman"/>
          <w:color w:val="000000"/>
          <w:sz w:val="24"/>
        </w:rPr>
        <w:t xml:space="preserve"> to hold an active residual; if slug-dosed, the target is an active residual sustained for a defined time.</w:t>
      </w:r>
      <w:r/>
    </w:p>
    <w:p w14:paraId="1FC1391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1.6 Laboratory analysis and indices</w:t>
      </w:r>
      <w:r/>
    </w:p>
    <w:p w14:paraId="499CB6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makeup and recirculating water are monitored: pH, conductivity, suspended solids, oil, calcium, alkalinity, iron, hardness, chloride, sulphate, orthophosphate, inorganic phosphate, total phosphate.</w:t>
      </w:r>
      <w:r/>
    </w:p>
    <w:p w14:paraId="0F03DE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Phosphate bookkeeping, which is a frequent source of confusion:</w:t>
      </w:r>
      <w:r/>
    </w:p>
    <w:p w14:paraId="1753B5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 phosphate     = organic phosphate + inorganic phosphate</w:t>
      </w:r>
      <w:r/>
    </w:p>
    <w:p w14:paraId="32E09A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inorganic phosphate = orthophosphate + condensed inorganic phosphate</w:t>
      </w:r>
      <w:r/>
    </w:p>
    <w:p w14:paraId="5A8C25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344C0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Organic phosphate is normally the scale inhibitor residual; orthophosphate is normally the corrosion inhibitor. That is what makes these columns behave as a </w:t>
      </w:r>
      <w:r>
        <w:rPr>
          <w:rFonts w:ascii="Times New Roman" w:hAnsi="Times New Roman" w:eastAsia="Times New Roman" w:cs="Times New Roman"/>
          <w:i/>
          <w:color w:val="000000"/>
          <w:sz w:val="24"/>
        </w:rPr>
        <w:t xml:space="preserve">dose-response</w:t>
      </w:r>
      <w:r>
        <w:rPr>
          <w:rFonts w:ascii="Times New Roman" w:hAnsi="Times New Roman" w:eastAsia="Times New Roman" w:cs="Times New Roman"/>
          <w:color w:val="000000"/>
          <w:sz w:val="24"/>
        </w:rPr>
        <w:t xml:space="preserve"> signal rather than as a raw water property.</w:t>
      </w:r>
      <w:r/>
    </w:p>
    <w:p w14:paraId="2389BD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Two derived indicators:</w:t>
      </w:r>
      <w:r/>
    </w:p>
    <w:p w14:paraId="69C2BE1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Corrosivity of the water</w:t>
      </w:r>
      <w:r>
        <w:rPr>
          <w:rFonts w:ascii="Times New Roman" w:hAnsi="Times New Roman" w:eastAsia="Times New Roman" w:cs="Times New Roman"/>
          <w:color w:val="000000"/>
          <w:sz w:val="24"/>
        </w:rPr>
        <w:t xml:space="preserve"> ≈ (chloride + sulphate) / alkalinity.</w:t>
      </w:r>
      <w:r/>
    </w:p>
    <w:p w14:paraId="175C00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Scaling tendency</w:t>
      </w:r>
      <w:r>
        <w:rPr>
          <w:rFonts w:ascii="Times New Roman" w:hAnsi="Times New Roman" w:eastAsia="Times New Roman" w:cs="Times New Roman"/>
          <w:color w:val="000000"/>
          <w:sz w:val="24"/>
        </w:rPr>
        <w:t xml:space="preserve"> — Langelier or Ryznar index, or proper saturation indices from a speciation code such as PHREEQC or Reaktoro.</w:t>
      </w:r>
      <w:r/>
    </w:p>
    <w:p w14:paraId="0A5AE4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 important correction to the textbook reading.</w:t>
      </w:r>
      <w:r>
        <w:rPr>
          <w:rFonts w:ascii="Times New Roman" w:hAnsi="Times New Roman" w:eastAsia="Times New Roman" w:cs="Times New Roman"/>
          <w:color w:val="000000"/>
          <w:sz w:val="24"/>
        </w:rPr>
        <w:t xml:space="preserve"> It is widely written that LSI &gt; 0.5 means scale will form. That is wrong in a treated system. Every scale inhibitor, on a given system, can hold a certain level of supersaturation without deposition. For calcium carbonate with HEDP/ATMP-based inhibitors, </w:t>
      </w:r>
      <w:r>
        <w:rPr>
          <w:rFonts w:ascii="Times New Roman" w:hAnsi="Times New Roman" w:eastAsia="Times New Roman" w:cs="Times New Roman"/>
          <w:color w:val="000000"/>
          <w:sz w:val="24"/>
        </w:rPr>
        <w:t xml:space="preserve">a saturation index around 2 is routinely held stable. So </w:t>
      </w:r>
      <w:r>
        <w:rPr>
          <w:rFonts w:ascii="Times New Roman" w:hAnsi="Times New Roman" w:eastAsia="Times New Roman" w:cs="Times New Roman"/>
          <w:b/>
          <w:color w:val="000000"/>
          <w:sz w:val="24"/>
        </w:rPr>
        <w:t xml:space="preserve">the saturation index is not a threshold classifier — it is a continuous stress variable whose tolerable ceiling is itself a property of the treatment program.</w:t>
      </w:r>
      <w:r>
        <w:rPr>
          <w:rFonts w:ascii="Times New Roman" w:hAnsi="Times New Roman" w:eastAsia="Times New Roman" w:cs="Times New Roman"/>
          <w:color w:val="000000"/>
          <w:sz w:val="24"/>
        </w:rPr>
        <w:t xml:space="preserve"> Recovering that ceiling from data is one of the interesting modelling questions here.</w:t>
      </w:r>
      <w:r/>
    </w:p>
    <w:p w14:paraId="062B493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Part 2. The dataset</w:t>
      </w:r>
      <w:r/>
    </w:p>
    <w:p w14:paraId="5A5DF5A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2.1 Scope and conventions</w:t>
      </w:r>
      <w:r/>
    </w:p>
    <w:p w14:paraId="618134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plant, one open recirculating cooling loop, tagged </w:t>
      </w:r>
      <w:r>
        <w:rPr>
          <w:rFonts w:ascii="Courier New" w:hAnsi="Courier New" w:eastAsia="Courier New" w:cs="Courier New"/>
          <w:b/>
          <w:color w:val="000000"/>
          <w:sz w:val="20"/>
        </w:rPr>
        <w:t xml:space="preserve">S2CT2</w:t>
      </w:r>
      <w:r>
        <w:rPr>
          <w:rFonts w:ascii="Times New Roman" w:hAnsi="Times New Roman" w:eastAsia="Times New Roman" w:cs="Times New Roman"/>
          <w:color w:val="000000"/>
          <w:sz w:val="24"/>
        </w:rPr>
        <w:t xml:space="preserve"> (cooling tower 2 of unit S2). The </w:t>
      </w:r>
      <w:r>
        <w:rPr>
          <w:rFonts w:ascii="Courier New" w:hAnsi="Courier New" w:eastAsia="Courier New" w:cs="Courier New"/>
          <w:color w:val="000000"/>
          <w:sz w:val="20"/>
        </w:rPr>
        <w:t xml:space="preserve">S2CT2</w:t>
      </w:r>
      <w:r>
        <w:rPr>
          <w:rFonts w:ascii="Times New Roman" w:hAnsi="Times New Roman" w:eastAsia="Times New Roman" w:cs="Times New Roman"/>
          <w:color w:val="000000"/>
          <w:sz w:val="24"/>
        </w:rPr>
        <w:t xml:space="preserve"> tag exists because the same schema is used for several towers at the site; only this one is included here.</w:t>
      </w:r>
      <w:r/>
    </w:p>
    <w:p w14:paraId="1CE80A4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table is keyed on </w:t>
      </w:r>
      <w:r>
        <w:rPr>
          <w:rFonts w:ascii="Courier New" w:hAnsi="Courier New" w:eastAsia="Courier New" w:cs="Courier New"/>
          <w:color w:val="000000"/>
          <w:sz w:val="20"/>
        </w:rPr>
        <w:t xml:space="preserve">rdate</w:t>
      </w:r>
      <w:r>
        <w:rPr>
          <w:rFonts w:ascii="Times New Roman" w:hAnsi="Times New Roman" w:eastAsia="Times New Roman" w:cs="Times New Roman"/>
          <w:color w:val="000000"/>
          <w:sz w:val="24"/>
        </w:rPr>
        <w:t xml:space="preserve"> (timestamp). This is the only join key.</w:t>
      </w:r>
      <w:r/>
    </w:p>
    <w:p w14:paraId="08E6D8E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Sampling frequency differs per table (see below). Nothing is aligned yet.</w:t>
      </w:r>
      <w:r/>
    </w:p>
    <w:p w14:paraId="4FAA6DB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Units, unless stated otherwise: </w:t>
      </w:r>
      <w:r/>
    </w:p>
    <w:p w14:paraId="7B038478">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ec</w:t>
      </w:r>
      <w:r>
        <w:rPr>
          <w:rFonts w:ascii="Times New Roman" w:hAnsi="Times New Roman" w:eastAsia="Times New Roman" w:cs="Times New Roman"/>
          <w:color w:val="000000"/>
          <w:sz w:val="24"/>
        </w:rPr>
        <w:t xml:space="preserve"> — µS/cm; </w:t>
      </w:r>
      <w:r>
        <w:rPr>
          <w:rFonts w:ascii="Courier New" w:hAnsi="Courier New" w:eastAsia="Courier New" w:cs="Courier New"/>
          <w:color w:val="000000"/>
          <w:sz w:val="20"/>
        </w:rPr>
        <w:t xml:space="preserve">tds</w:t>
      </w:r>
      <w:r>
        <w:rPr>
          <w:rFonts w:ascii="Times New Roman" w:hAnsi="Times New Roman" w:eastAsia="Times New Roman" w:cs="Times New Roman"/>
          <w:color w:val="000000"/>
          <w:sz w:val="24"/>
        </w:rPr>
        <w:t xml:space="preserve"> — ppm (usually </w:t>
      </w:r>
      <w:r>
        <w:rPr>
          <w:rFonts w:ascii="Times New Roman" w:hAnsi="Times New Roman" w:eastAsia="Times New Roman" w:cs="Times New Roman"/>
          <w:i/>
          <w:color w:val="000000"/>
          <w:sz w:val="24"/>
        </w:rPr>
        <w:t xml:space="preserve">computed</w:t>
      </w:r>
      <w:r>
        <w:rPr>
          <w:rFonts w:ascii="Times New Roman" w:hAnsi="Times New Roman" w:eastAsia="Times New Roman" w:cs="Times New Roman"/>
          <w:color w:val="000000"/>
          <w:sz w:val="24"/>
        </w:rPr>
        <w:t xml:space="preserve"> as </w:t>
      </w:r>
      <w:r>
        <w:rPr>
          <w:rFonts w:ascii="Courier New" w:hAnsi="Courier New" w:eastAsia="Courier New" w:cs="Courier New"/>
          <w:color w:val="000000"/>
          <w:sz w:val="20"/>
        </w:rPr>
        <w:t xml:space="preserve">ec × k</w:t>
      </w:r>
      <w:r>
        <w:rPr>
          <w:rFonts w:ascii="Times New Roman" w:hAnsi="Times New Roman" w:eastAsia="Times New Roman" w:cs="Times New Roman"/>
          <w:color w:val="000000"/>
          <w:sz w:val="24"/>
        </w:rPr>
        <w:t xml:space="preserve">, not measured)</w:t>
      </w:r>
      <w:r/>
    </w:p>
    <w:p w14:paraId="6C0D71B8">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ca_caco3</w:t>
      </w:r>
      <w:r>
        <w:rPr>
          <w:rFonts w:ascii="Times New Roman" w:hAnsi="Times New Roman" w:eastAsia="Times New Roman" w:cs="Times New Roman"/>
          <w:color w:val="000000"/>
          <w:sz w:val="24"/>
        </w:rPr>
        <w:t xml:space="preserve"> — ppm as CaCO₃</w:t>
      </w:r>
      <w:r/>
    </w:p>
    <w:p w14:paraId="0500A844">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alk</w:t>
      </w:r>
      <w:r>
        <w:rPr>
          <w:rFonts w:ascii="Times New Roman" w:hAnsi="Times New Roman" w:eastAsia="Times New Roman" w:cs="Times New Roman"/>
          <w:color w:val="000000"/>
          <w:sz w:val="24"/>
        </w:rPr>
        <w:t xml:space="preserve"> — meq/L. </w:t>
      </w:r>
      <w:r>
        <w:rPr>
          <w:rFonts w:ascii="Times New Roman" w:hAnsi="Times New Roman" w:eastAsia="Times New Roman" w:cs="Times New Roman"/>
          <w:b/>
          <w:color w:val="000000"/>
          <w:sz w:val="24"/>
        </w:rPr>
        <w:t xml:space="preserve">Multiply by 50 to get ppm as CaCO₃.</w:t>
      </w:r>
      <w:r>
        <w:rPr>
          <w:rFonts w:ascii="Times New Roman" w:hAnsi="Times New Roman" w:eastAsia="Times New Roman" w:cs="Times New Roman"/>
          <w:color w:val="000000"/>
          <w:sz w:val="24"/>
        </w:rPr>
        <w:t xml:space="preserve"> This is the single most common mistake when working with this data.</w:t>
      </w:r>
      <w:r/>
    </w:p>
    <w:p w14:paraId="7F9A892D">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phosphates — ppm as PO₄</w:t>
      </w:r>
      <w:r/>
    </w:p>
    <w:p w14:paraId="7A24A001">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tss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oil</w:t>
      </w:r>
      <w:r>
        <w:rPr>
          <w:rFonts w:ascii="Times New Roman" w:hAnsi="Times New Roman" w:eastAsia="Times New Roman" w:cs="Times New Roman"/>
          <w:color w:val="000000"/>
          <w:sz w:val="24"/>
        </w:rPr>
        <w:t xml:space="preserve"> — ppm; </w:t>
      </w:r>
      <w:r>
        <w:rPr>
          <w:rFonts w:ascii="Courier New" w:hAnsi="Courier New" w:eastAsia="Courier New" w:cs="Courier New"/>
          <w:color w:val="000000"/>
          <w:sz w:val="20"/>
        </w:rPr>
        <w:t xml:space="preserve">tvc</w:t>
      </w:r>
      <w:r>
        <w:rPr>
          <w:rFonts w:ascii="Times New Roman" w:hAnsi="Times New Roman" w:eastAsia="Times New Roman" w:cs="Times New Roman"/>
          <w:color w:val="000000"/>
          <w:sz w:val="24"/>
        </w:rPr>
        <w:t xml:space="preserve"> — CFU/mL</w:t>
      </w:r>
      <w:r/>
    </w:p>
    <w:p w14:paraId="78A7DCFA">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flows — m³/h; temperatures — °C</w:t>
      </w:r>
      <w:r/>
    </w:p>
    <w:p w14:paraId="16CDAC28">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dosages — kg/day of </w:t>
      </w:r>
      <w:r>
        <w:rPr>
          <w:rFonts w:ascii="Times New Roman" w:hAnsi="Times New Roman" w:eastAsia="Times New Roman" w:cs="Times New Roman"/>
          <w:b/>
          <w:color w:val="000000"/>
          <w:sz w:val="24"/>
        </w:rPr>
        <w:t xml:space="preserve">commercial product as supplied</w:t>
      </w:r>
      <w:r>
        <w:rPr>
          <w:rFonts w:ascii="Times New Roman" w:hAnsi="Times New Roman" w:eastAsia="Times New Roman" w:cs="Times New Roman"/>
          <w:color w:val="000000"/>
          <w:sz w:val="24"/>
        </w:rPr>
        <w:t xml:space="preserve">, not active matter</w:t>
      </w:r>
      <w:r/>
    </w:p>
    <w:p w14:paraId="57F8247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2.2 Files</w:t>
      </w:r>
      <w:r/>
    </w:p>
    <w:p w14:paraId="7491AB6B">
      <w:pPr>
        <w:pStyle w:val="141"/>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3"/>
        </w:rPr>
        <w:t xml:space="preserve">tech_b2s2.xlsx</w:t>
      </w:r>
      <w:r>
        <w:rPr>
          <w:rFonts w:ascii="Times New Roman" w:hAnsi="Times New Roman" w:eastAsia="Times New Roman" w:cs="Times New Roman"/>
          <w:b/>
          <w:color w:val="000000"/>
          <w:sz w:val="28"/>
        </w:rPr>
        <w:t xml:space="preserve"> — sheet </w:t>
      </w:r>
      <w:r>
        <w:rPr>
          <w:rFonts w:ascii="Courier New" w:hAnsi="Courier New" w:eastAsia="Courier New" w:cs="Courier New"/>
          <w:b/>
          <w:color w:val="000000"/>
          <w:sz w:val="23"/>
        </w:rPr>
        <w:t xml:space="preserve">S2CT2</w:t>
      </w:r>
      <w:r>
        <w:rPr>
          <w:rFonts w:ascii="Times New Roman" w:hAnsi="Times New Roman" w:eastAsia="Times New Roman" w:cs="Times New Roman"/>
          <w:b/>
          <w:color w:val="000000"/>
          <w:sz w:val="28"/>
        </w:rPr>
        <w:t xml:space="preserve"> (operational data)</w:t>
      </w:r>
      <w:r/>
    </w:p>
    <w:p w14:paraId="7A806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432 daily rows, 2025-07-01 → 2026-09-05. This is the process backbone.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90"/>
        <w:gridCol w:w="6110"/>
      </w:tblGrid>
      <w:tr>
        <w:trPr/>
        <w:tc>
          <w:tcPr>
            <w:tcBorders/>
            <w:tcMar>
              <w:left w:w="15" w:type="dxa"/>
              <w:top w:w="15" w:type="dxa"/>
              <w:right w:w="15" w:type="dxa"/>
              <w:bottom w:w="15" w:type="dxa"/>
            </w:tcMar>
            <w:tcW w:w="1290" w:type="dxa"/>
            <w:vAlign w:val="center"/>
          </w:tcPr>
          <w:p w14:paraId="12CF99D6">
            <w:pPr>
              <w:pBdr/>
              <w:spacing w:after="0" w:before="0" w:line="240"/>
              <w:ind/>
              <w:jc w:val="center"/>
              <w:rPr/>
            </w:pPr>
            <w:r>
              <w:rPr>
                <w:rFonts w:ascii="Times New Roman" w:hAnsi="Times New Roman" w:eastAsia="Times New Roman" w:cs="Times New Roman"/>
                <w:b/>
                <w:color w:val="000000"/>
                <w:sz w:val="24"/>
              </w:rPr>
              <w:t xml:space="preserve">Column</w:t>
            </w:r>
            <w:r/>
          </w:p>
        </w:tc>
        <w:tc>
          <w:tcPr>
            <w:tcBorders/>
            <w:tcMar>
              <w:left w:w="15" w:type="dxa"/>
              <w:top w:w="15" w:type="dxa"/>
              <w:right w:w="15" w:type="dxa"/>
              <w:bottom w:w="15" w:type="dxa"/>
            </w:tcMar>
            <w:tcW w:w="6110" w:type="dxa"/>
            <w:vAlign w:val="center"/>
          </w:tcPr>
          <w:p w14:paraId="17FE6E3C">
            <w:pPr>
              <w:pBdr/>
              <w:spacing w:after="0" w:before="0" w:line="240"/>
              <w:ind/>
              <w:jc w:val="center"/>
              <w:rPr/>
            </w:pPr>
            <w:r>
              <w:rPr>
                <w:rFonts w:ascii="Times New Roman" w:hAnsi="Times New Roman" w:eastAsia="Times New Roman" w:cs="Times New Roman"/>
                <w:b/>
                <w:color w:val="000000"/>
                <w:sz w:val="24"/>
              </w:rPr>
              <w:t xml:space="preserve">Meaning</w:t>
            </w:r>
            <w:r/>
          </w:p>
        </w:tc>
      </w:tr>
      <w:tr>
        <w:trPr/>
        <w:tc>
          <w:tcPr>
            <w:tcBorders/>
            <w:tcMar>
              <w:left w:w="15" w:type="dxa"/>
              <w:top w:w="15" w:type="dxa"/>
              <w:right w:w="15" w:type="dxa"/>
              <w:bottom w:w="15" w:type="dxa"/>
            </w:tcMar>
            <w:tcW w:w="1290" w:type="dxa"/>
            <w:vAlign w:val="center"/>
          </w:tcPr>
          <w:p w14:paraId="7DF4483C">
            <w:pPr>
              <w:pBdr/>
              <w:spacing w:after="0" w:before="0" w:line="240"/>
              <w:ind/>
              <w:rPr/>
            </w:pPr>
            <w:r>
              <w:rPr>
                <w:rFonts w:ascii="Courier New" w:hAnsi="Courier New" w:eastAsia="Courier New" w:cs="Courier New"/>
                <w:color w:val="000000"/>
                <w:sz w:val="20"/>
              </w:rPr>
              <w:t xml:space="preserve">t_cold</w:t>
            </w:r>
            <w:r/>
          </w:p>
        </w:tc>
        <w:tc>
          <w:tcPr>
            <w:tcBorders/>
            <w:tcMar>
              <w:left w:w="15" w:type="dxa"/>
              <w:top w:w="15" w:type="dxa"/>
              <w:right w:w="15" w:type="dxa"/>
              <w:bottom w:w="15" w:type="dxa"/>
            </w:tcMar>
            <w:tcW w:w="6110" w:type="dxa"/>
            <w:vAlign w:val="center"/>
          </w:tcPr>
          <w:p w14:paraId="706BBC91">
            <w:pPr>
              <w:pBdr/>
              <w:spacing w:after="0" w:before="0" w:line="240"/>
              <w:ind/>
              <w:rPr/>
            </w:pPr>
            <w:r>
              <w:rPr>
                <w:rFonts w:ascii="Times New Roman" w:hAnsi="Times New Roman" w:eastAsia="Times New Roman" w:cs="Times New Roman"/>
                <w:color w:val="000000"/>
                <w:sz w:val="24"/>
              </w:rPr>
              <w:t xml:space="preserve">recirculating water temperature after the tower (to process)</w:t>
            </w:r>
            <w:r/>
          </w:p>
        </w:tc>
      </w:tr>
      <w:tr>
        <w:trPr/>
        <w:tc>
          <w:tcPr>
            <w:tcBorders/>
            <w:tcMar>
              <w:left w:w="15" w:type="dxa"/>
              <w:top w:w="15" w:type="dxa"/>
              <w:right w:w="15" w:type="dxa"/>
              <w:bottom w:w="15" w:type="dxa"/>
            </w:tcMar>
            <w:tcW w:w="1290" w:type="dxa"/>
            <w:vAlign w:val="center"/>
          </w:tcPr>
          <w:p w14:paraId="4F3571FD">
            <w:pPr>
              <w:pBdr/>
              <w:spacing w:after="0" w:before="0" w:line="240"/>
              <w:ind/>
              <w:rPr/>
            </w:pPr>
            <w:r>
              <w:rPr>
                <w:rFonts w:ascii="Courier New" w:hAnsi="Courier New" w:eastAsia="Courier New" w:cs="Courier New"/>
                <w:color w:val="000000"/>
                <w:sz w:val="20"/>
              </w:rPr>
              <w:t xml:space="preserve">t_hot</w:t>
            </w:r>
            <w:r/>
          </w:p>
        </w:tc>
        <w:tc>
          <w:tcPr>
            <w:tcBorders/>
            <w:tcMar>
              <w:left w:w="15" w:type="dxa"/>
              <w:top w:w="15" w:type="dxa"/>
              <w:right w:w="15" w:type="dxa"/>
              <w:bottom w:w="15" w:type="dxa"/>
            </w:tcMar>
            <w:tcW w:w="6110" w:type="dxa"/>
            <w:vAlign w:val="center"/>
          </w:tcPr>
          <w:p w14:paraId="490E4E4F">
            <w:pPr>
              <w:pBdr/>
              <w:spacing w:after="0" w:before="0" w:line="240"/>
              <w:ind/>
              <w:rPr/>
            </w:pPr>
            <w:r>
              <w:rPr>
                <w:rFonts w:ascii="Times New Roman" w:hAnsi="Times New Roman" w:eastAsia="Times New Roman" w:cs="Times New Roman"/>
                <w:color w:val="000000"/>
                <w:sz w:val="24"/>
              </w:rPr>
              <w:t xml:space="preserve">recirculating water temperature before the tower (from process)</w:t>
            </w:r>
            <w:r/>
          </w:p>
        </w:tc>
      </w:tr>
      <w:tr>
        <w:trPr/>
        <w:tc>
          <w:tcPr>
            <w:tcBorders/>
            <w:tcMar>
              <w:left w:w="15" w:type="dxa"/>
              <w:top w:w="15" w:type="dxa"/>
              <w:right w:w="15" w:type="dxa"/>
              <w:bottom w:w="15" w:type="dxa"/>
            </w:tcMar>
            <w:tcW w:w="1290" w:type="dxa"/>
            <w:vAlign w:val="center"/>
          </w:tcPr>
          <w:p w14:paraId="00C1C032">
            <w:pPr>
              <w:pBdr/>
              <w:spacing w:after="0" w:before="0" w:line="240"/>
              <w:ind/>
              <w:rPr/>
            </w:pPr>
            <w:r>
              <w:rPr>
                <w:rFonts w:ascii="Courier New" w:hAnsi="Courier New" w:eastAsia="Courier New" w:cs="Courier New"/>
                <w:color w:val="000000"/>
                <w:sz w:val="20"/>
              </w:rPr>
              <w:t xml:space="preserve">ec_mu</w:t>
            </w:r>
            <w:r/>
          </w:p>
        </w:tc>
        <w:tc>
          <w:tcPr>
            <w:tcBorders/>
            <w:tcMar>
              <w:left w:w="15" w:type="dxa"/>
              <w:top w:w="15" w:type="dxa"/>
              <w:right w:w="15" w:type="dxa"/>
              <w:bottom w:w="15" w:type="dxa"/>
            </w:tcMar>
            <w:tcW w:w="6110" w:type="dxa"/>
            <w:vAlign w:val="center"/>
          </w:tcPr>
          <w:p w14:paraId="79334FCD">
            <w:pPr>
              <w:pBdr/>
              <w:spacing w:after="0" w:before="0" w:line="240"/>
              <w:ind/>
              <w:rPr/>
            </w:pPr>
            <w:r>
              <w:rPr>
                <w:rFonts w:ascii="Times New Roman" w:hAnsi="Times New Roman" w:eastAsia="Times New Roman" w:cs="Times New Roman"/>
                <w:color w:val="000000"/>
                <w:sz w:val="24"/>
              </w:rPr>
              <w:t xml:space="preserve">makeup water conductivity, from an online sensor</w:t>
            </w:r>
            <w:r/>
          </w:p>
        </w:tc>
      </w:tr>
      <w:tr>
        <w:trPr/>
        <w:tc>
          <w:tcPr>
            <w:tcBorders/>
            <w:tcMar>
              <w:left w:w="15" w:type="dxa"/>
              <w:top w:w="15" w:type="dxa"/>
              <w:right w:w="15" w:type="dxa"/>
              <w:bottom w:w="15" w:type="dxa"/>
            </w:tcMar>
            <w:tcW w:w="1290" w:type="dxa"/>
            <w:vAlign w:val="center"/>
          </w:tcPr>
          <w:p w14:paraId="41C8E759">
            <w:pPr>
              <w:pBdr/>
              <w:spacing w:after="0" w:before="0" w:line="240"/>
              <w:ind/>
              <w:rPr/>
            </w:pPr>
            <w:r>
              <w:rPr>
                <w:rFonts w:ascii="Courier New" w:hAnsi="Courier New" w:eastAsia="Courier New" w:cs="Courier New"/>
                <w:color w:val="000000"/>
                <w:sz w:val="20"/>
              </w:rPr>
              <w:t xml:space="preserve">mu</w:t>
            </w:r>
            <w:r/>
          </w:p>
        </w:tc>
        <w:tc>
          <w:tcPr>
            <w:tcBorders/>
            <w:tcMar>
              <w:left w:w="15" w:type="dxa"/>
              <w:top w:w="15" w:type="dxa"/>
              <w:right w:w="15" w:type="dxa"/>
              <w:bottom w:w="15" w:type="dxa"/>
            </w:tcMar>
            <w:tcW w:w="6110" w:type="dxa"/>
            <w:vAlign w:val="center"/>
          </w:tcPr>
          <w:p w14:paraId="37646432">
            <w:pPr>
              <w:pBdr/>
              <w:spacing w:after="0" w:before="0" w:line="240"/>
              <w:ind/>
              <w:rPr/>
            </w:pPr>
            <w:r>
              <w:rPr>
                <w:rFonts w:ascii="Times New Roman" w:hAnsi="Times New Roman" w:eastAsia="Times New Roman" w:cs="Times New Roman"/>
                <w:color w:val="000000"/>
                <w:sz w:val="24"/>
              </w:rPr>
              <w:t xml:space="preserve">makeup flow</w:t>
            </w:r>
            <w:r/>
          </w:p>
        </w:tc>
      </w:tr>
      <w:tr>
        <w:trPr/>
        <w:tc>
          <w:tcPr>
            <w:tcBorders/>
            <w:tcMar>
              <w:left w:w="15" w:type="dxa"/>
              <w:top w:w="15" w:type="dxa"/>
              <w:right w:w="15" w:type="dxa"/>
              <w:bottom w:w="15" w:type="dxa"/>
            </w:tcMar>
            <w:tcW w:w="1290" w:type="dxa"/>
            <w:vAlign w:val="center"/>
          </w:tcPr>
          <w:p w14:paraId="40543171">
            <w:pPr>
              <w:pBdr/>
              <w:spacing w:after="0" w:before="0" w:line="240"/>
              <w:ind/>
              <w:rPr/>
            </w:pPr>
            <w:r>
              <w:rPr>
                <w:rFonts w:ascii="Courier New" w:hAnsi="Courier New" w:eastAsia="Courier New" w:cs="Courier New"/>
                <w:color w:val="000000"/>
                <w:sz w:val="20"/>
              </w:rPr>
              <w:t xml:space="preserve">bd_c</w:t>
            </w:r>
            <w:r/>
          </w:p>
        </w:tc>
        <w:tc>
          <w:tcPr>
            <w:tcBorders/>
            <w:tcMar>
              <w:left w:w="15" w:type="dxa"/>
              <w:top w:w="15" w:type="dxa"/>
              <w:right w:w="15" w:type="dxa"/>
              <w:bottom w:w="15" w:type="dxa"/>
            </w:tcMar>
            <w:tcW w:w="6110" w:type="dxa"/>
            <w:vAlign w:val="center"/>
          </w:tcPr>
          <w:p w14:paraId="6AAB7C3B">
            <w:pPr>
              <w:pBdr/>
              <w:spacing w:after="0" w:before="0" w:line="240"/>
              <w:ind/>
              <w:rPr/>
            </w:pPr>
            <w:r>
              <w:rPr>
                <w:rFonts w:ascii="Times New Roman" w:hAnsi="Times New Roman" w:eastAsia="Times New Roman" w:cs="Times New Roman"/>
                <w:color w:val="000000"/>
                <w:sz w:val="24"/>
              </w:rPr>
              <w:t xml:space="preserve">controlled blowdown flow</w:t>
            </w:r>
            <w:r/>
          </w:p>
        </w:tc>
      </w:tr>
      <w:tr>
        <w:trPr/>
        <w:tc>
          <w:tcPr>
            <w:tcBorders/>
            <w:tcMar>
              <w:left w:w="15" w:type="dxa"/>
              <w:top w:w="15" w:type="dxa"/>
              <w:right w:w="15" w:type="dxa"/>
              <w:bottom w:w="15" w:type="dxa"/>
            </w:tcMar>
            <w:tcW w:w="1290" w:type="dxa"/>
            <w:vAlign w:val="center"/>
          </w:tcPr>
          <w:p w14:paraId="6F9F2228">
            <w:pPr>
              <w:pBdr/>
              <w:spacing w:after="0" w:before="0" w:line="240"/>
              <w:ind/>
              <w:rPr/>
            </w:pPr>
            <w:r>
              <w:rPr>
                <w:rFonts w:ascii="Courier New" w:hAnsi="Courier New" w:eastAsia="Courier New" w:cs="Courier New"/>
                <w:color w:val="000000"/>
                <w:sz w:val="20"/>
              </w:rPr>
              <w:t xml:space="preserve">rr_c1</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rr_c2</w:t>
            </w:r>
            <w:r/>
          </w:p>
        </w:tc>
        <w:tc>
          <w:tcPr>
            <w:tcBorders/>
            <w:tcMar>
              <w:left w:w="15" w:type="dxa"/>
              <w:top w:w="15" w:type="dxa"/>
              <w:right w:w="15" w:type="dxa"/>
              <w:bottom w:w="15" w:type="dxa"/>
            </w:tcMar>
            <w:tcW w:w="6110" w:type="dxa"/>
            <w:vAlign w:val="center"/>
          </w:tcPr>
          <w:p w14:paraId="53BE8CA2">
            <w:pPr>
              <w:pBdr/>
              <w:spacing w:after="0" w:before="0" w:line="240"/>
              <w:ind/>
              <w:rPr/>
            </w:pPr>
            <w:r>
              <w:rPr>
                <w:rFonts w:ascii="Times New Roman" w:hAnsi="Times New Roman" w:eastAsia="Times New Roman" w:cs="Times New Roman"/>
                <w:color w:val="000000"/>
                <w:sz w:val="24"/>
              </w:rPr>
              <w:t xml:space="preserve">recirculation rate, tower cell 1 and cell 2</w:t>
            </w:r>
            <w:r/>
          </w:p>
        </w:tc>
      </w:tr>
    </w:tbl>
    <w:p w14:paraId="331307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Total recirculation is </w:t>
      </w:r>
      <w:r>
        <w:rPr>
          <w:rFonts w:ascii="Courier New" w:hAnsi="Courier New" w:eastAsia="Courier New" w:cs="Courier New"/>
          <w:b/>
          <w:color w:val="000000"/>
          <w:sz w:val="20"/>
        </w:rPr>
        <w:t xml:space="preserve">rr_c1 + rr_c2</w:t>
      </w:r>
      <w:r>
        <w:rPr>
          <w:rFonts w:ascii="Times New Roman" w:hAnsi="Times New Roman" w:eastAsia="Times New Roman" w:cs="Times New Roman"/>
          <w:color w:val="000000"/>
          <w:sz w:val="24"/>
        </w:rPr>
        <w:t xml:space="preserve"> (≈ 3400 m³/h), not either column alone. I verified this against the water balance: with the summed flow, mean evaporation comes to ≈ 14.6 m³/h and </w:t>
      </w:r>
      <w:r>
        <w:rPr>
          <w:rFonts w:ascii="Courier New" w:hAnsi="Courier New" w:eastAsia="Courier New" w:cs="Courier New"/>
          <w:color w:val="000000"/>
          <w:sz w:val="20"/>
        </w:rPr>
        <w:t xml:space="preserve">E + bd_c</w:t>
      </w:r>
      <w:r>
        <w:rPr>
          <w:rFonts w:ascii="Times New Roman" w:hAnsi="Times New Roman" w:eastAsia="Times New Roman" w:cs="Times New Roman"/>
          <w:color w:val="000000"/>
          <w:sz w:val="24"/>
        </w:rPr>
        <w:t xml:space="preserve"> ≈ 20.2 m³/h against a measured makeup of 23.3 m³/h. The ~3 m³/h gap is the unmetered part — leaks and drift — which is a physically sensible magnitude. With only one cell the balance does not close at all. The sheet </w:t>
      </w:r>
      <w:r>
        <w:rPr>
          <w:rFonts w:ascii="Courier New" w:hAnsi="Courier New" w:eastAsia="Courier New" w:cs="Courier New"/>
          <w:color w:val="000000"/>
          <w:sz w:val="20"/>
        </w:rPr>
        <w:t xml:space="preserve">abbr</w:t>
      </w:r>
      <w:r>
        <w:rPr>
          <w:rFonts w:ascii="Times New Roman" w:hAnsi="Times New Roman" w:eastAsia="Times New Roman" w:cs="Times New Roman"/>
          <w:color w:val="000000"/>
          <w:sz w:val="24"/>
        </w:rPr>
        <w:t xml:space="preserve"> in this file carries the same definitions.</w:t>
      </w:r>
      <w:r/>
    </w:p>
    <w:p w14:paraId="06FA90CC">
      <w:pPr>
        <w:pStyle w:val="141"/>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3"/>
        </w:rPr>
        <w:t xml:space="preserve">rr_analysis.xlsx</w:t>
      </w:r>
      <w:r>
        <w:rPr>
          <w:rFonts w:ascii="Times New Roman" w:hAnsi="Times New Roman" w:eastAsia="Times New Roman" w:cs="Times New Roman"/>
          <w:b/>
          <w:color w:val="000000"/>
          <w:sz w:val="28"/>
        </w:rPr>
        <w:t xml:space="preserve"> (recirculating water chemistry)</w:t>
      </w:r>
      <w:r/>
    </w:p>
    <w:p w14:paraId="00BFCA6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Sheet </w:t>
      </w:r>
      <w:r>
        <w:rPr>
          <w:rFonts w:ascii="Courier New" w:hAnsi="Courier New" w:eastAsia="Courier New" w:cs="Courier New"/>
          <w:color w:val="000000"/>
          <w:sz w:val="20"/>
        </w:rPr>
        <w:t xml:space="preserve">S2CT2</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1358 rows, 2021-07-19 → 2026-08-05.</w:t>
      </w:r>
      <w:r>
        <w:rPr>
          <w:rFonts w:ascii="Times New Roman" w:hAnsi="Times New Roman" w:eastAsia="Times New Roman" w:cs="Times New Roman"/>
          <w:color w:val="000000"/>
          <w:sz w:val="24"/>
        </w:rPr>
        <w:t xml:space="preserve"> The longest history in the dataset. Irregular sampling: a few times per week for the routine parameters, much rarer for others.</w:t>
      </w:r>
      <w:r/>
    </w:p>
    <w:p w14:paraId="4559658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Sheet </w:t>
      </w:r>
      <w:r>
        <w:rPr>
          <w:rFonts w:ascii="Courier New" w:hAnsi="Courier New" w:eastAsia="Courier New" w:cs="Courier New"/>
          <w:color w:val="000000"/>
          <w:sz w:val="20"/>
        </w:rPr>
        <w:t xml:space="preserve">MU</w:t>
      </w:r>
      <w:r>
        <w:rPr>
          <w:rFonts w:ascii="Times New Roman" w:hAnsi="Times New Roman" w:eastAsia="Times New Roman" w:cs="Times New Roman"/>
          <w:color w:val="000000"/>
          <w:sz w:val="24"/>
        </w:rPr>
        <w:t xml:space="preserve"> — 177 rows, 2021-07 → 2022-08. Makeup chemistry for the </w:t>
      </w:r>
      <w:r>
        <w:rPr>
          <w:rFonts w:ascii="Times New Roman" w:hAnsi="Times New Roman" w:eastAsia="Times New Roman" w:cs="Times New Roman"/>
          <w:i/>
          <w:color w:val="000000"/>
          <w:sz w:val="24"/>
        </w:rPr>
        <w:t xml:space="preserve">old</w:t>
      </w:r>
      <w:r>
        <w:rPr>
          <w:rFonts w:ascii="Times New Roman" w:hAnsi="Times New Roman" w:eastAsia="Times New Roman" w:cs="Times New Roman"/>
          <w:color w:val="000000"/>
          <w:sz w:val="24"/>
        </w:rPr>
        <w:t xml:space="preserve"> period only. It does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overlap with </w:t>
      </w:r>
      <w:r>
        <w:rPr>
          <w:rFonts w:ascii="Courier New" w:hAnsi="Courier New" w:eastAsia="Courier New" w:cs="Courier New"/>
          <w:color w:val="000000"/>
          <w:sz w:val="20"/>
        </w:rPr>
        <w:t xml:space="preserve">mu_water.xlsx</w:t>
      </w:r>
      <w:r>
        <w:rPr>
          <w:rFonts w:ascii="Times New Roman" w:hAnsi="Times New Roman" w:eastAsia="Times New Roman" w:cs="Times New Roman"/>
          <w:color w:val="000000"/>
          <w:sz w:val="24"/>
        </w:rPr>
        <w:t xml:space="preserve">; together they give a makeup record with a multi-year hole in the middle.</w:t>
      </w:r>
      <w:r/>
    </w:p>
    <w:p w14:paraId="7B0059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Columns: </w:t>
      </w:r>
      <w:r>
        <w:rPr>
          <w:rFonts w:ascii="Courier New" w:hAnsi="Courier New" w:eastAsia="Courier New" w:cs="Courier New"/>
          <w:color w:val="000000"/>
          <w:sz w:val="20"/>
        </w:rPr>
        <w:t xml:space="preserve">ph, ec, tds, ca_caco3, alk, cl, fe, tss, oil, tvc, po4_orto, po4_org, po4_tot</w:t>
      </w:r>
      <w:r>
        <w:rPr>
          <w:rFonts w:ascii="Times New Roman" w:hAnsi="Times New Roman" w:eastAsia="Times New Roman" w:cs="Times New Roman"/>
          <w:color w:val="000000"/>
          <w:sz w:val="24"/>
        </w:rPr>
        <w:t xml:space="preserve"> plus three </w:t>
      </w:r>
      <w:r>
        <w:rPr>
          <w:rFonts w:ascii="Times New Roman" w:hAnsi="Times New Roman" w:eastAsia="Times New Roman" w:cs="Times New Roman"/>
          <w:b/>
          <w:color w:val="000000"/>
          <w:sz w:val="24"/>
        </w:rPr>
        <w:t xml:space="preserve">already-derived</w:t>
      </w:r>
      <w:r>
        <w:rPr>
          <w:rFonts w:ascii="Times New Roman" w:hAnsi="Times New Roman" w:eastAsia="Times New Roman" w:cs="Times New Roman"/>
          <w:color w:val="000000"/>
          <w:sz w:val="24"/>
        </w:rPr>
        <w:t xml:space="preserve"> columns: </w:t>
      </w:r>
      <w:r>
        <w:rPr>
          <w:rFonts w:ascii="Courier New" w:hAnsi="Courier New" w:eastAsia="Courier New" w:cs="Courier New"/>
          <w:color w:val="000000"/>
          <w:sz w:val="20"/>
        </w:rPr>
        <w:t xml:space="preserve">lsi</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cycles_tds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cycles_ca</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retention_ca</w:t>
      </w:r>
      <w:r>
        <w:rPr>
          <w:rFonts w:ascii="Times New Roman" w:hAnsi="Times New Roman" w:eastAsia="Times New Roman" w:cs="Times New Roman"/>
          <w:color w:val="000000"/>
          <w:sz w:val="24"/>
        </w:rPr>
        <w:t xml:space="preserve">.</w:t>
      </w:r>
      <w:r/>
    </w:p>
    <w:p w14:paraId="512BF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Fill rates are very uneven — roughly 530/1358 rows for pH and conductivity, 258 for iron, 49 for chloride. Treat sparsity as informative: routine daily parameters versus occasional special campaigns.</w:t>
      </w:r>
      <w:r/>
    </w:p>
    <w:p w14:paraId="332BED32">
      <w:pPr>
        <w:pStyle w:val="141"/>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3"/>
        </w:rPr>
        <w:t xml:space="preserve">mu_water.xlsx</w:t>
      </w:r>
      <w:r>
        <w:rPr>
          <w:rFonts w:ascii="Times New Roman" w:hAnsi="Times New Roman" w:eastAsia="Times New Roman" w:cs="Times New Roman"/>
          <w:b/>
          <w:color w:val="000000"/>
          <w:sz w:val="28"/>
        </w:rPr>
        <w:t xml:space="preserve"> — sheet </w:t>
      </w:r>
      <w:r>
        <w:rPr>
          <w:rFonts w:ascii="Courier New" w:hAnsi="Courier New" w:eastAsia="Courier New" w:cs="Courier New"/>
          <w:b/>
          <w:color w:val="000000"/>
          <w:sz w:val="23"/>
        </w:rPr>
        <w:t xml:space="preserve">analysis</w:t>
      </w:r>
      <w:r>
        <w:rPr>
          <w:rFonts w:ascii="Times New Roman" w:hAnsi="Times New Roman" w:eastAsia="Times New Roman" w:cs="Times New Roman"/>
          <w:b/>
          <w:color w:val="000000"/>
          <w:sz w:val="28"/>
        </w:rPr>
        <w:t xml:space="preserve"> (makeup water chemistry)</w:t>
      </w:r>
      <w:r/>
    </w:p>
    <w:p w14:paraId="11C1E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281 rows, 2025-08-04 → 2026-08-17, timestamped to the hour. Same parameter set, plus </w:t>
      </w:r>
      <w:r>
        <w:rPr>
          <w:rFonts w:ascii="Courier New" w:hAnsi="Courier New" w:eastAsia="Courier New" w:cs="Courier New"/>
          <w:color w:val="000000"/>
          <w:sz w:val="20"/>
        </w:rPr>
        <w:t xml:space="preserve">toc</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cod</w:t>
      </w:r>
      <w:r>
        <w:rPr>
          <w:rFonts w:ascii="Times New Roman" w:hAnsi="Times New Roman" w:eastAsia="Times New Roman" w:cs="Times New Roman"/>
          <w:color w:val="000000"/>
          <w:sz w:val="24"/>
        </w:rPr>
        <w:t xml:space="preserve"> (both entirely empty) and </w:t>
      </w:r>
      <w:r>
        <w:rPr>
          <w:rFonts w:ascii="Courier New" w:hAnsi="Courier New" w:eastAsia="Courier New" w:cs="Courier New"/>
          <w:color w:val="000000"/>
          <w:sz w:val="20"/>
        </w:rPr>
        <w:t xml:space="preserve">operator_name</w:t>
      </w:r>
      <w:r>
        <w:rPr>
          <w:rFonts w:ascii="Times New Roman" w:hAnsi="Times New Roman" w:eastAsia="Times New Roman" w:cs="Times New Roman"/>
          <w:color w:val="000000"/>
          <w:sz w:val="24"/>
        </w:rPr>
        <w:t xml:space="preserve"> (Cyrillic text — useful for detecting operator-dependent measurement bias). Only ~109 rows carry the main chemistry; the remaining rows are single-parameter entries. Sheet </w:t>
      </w:r>
      <w:r>
        <w:rPr>
          <w:rFonts w:ascii="Courier New" w:hAnsi="Courier New" w:eastAsia="Courier New" w:cs="Courier New"/>
          <w:color w:val="000000"/>
          <w:sz w:val="20"/>
        </w:rPr>
        <w:t xml:space="preserve">abbr</w:t>
      </w:r>
      <w:r>
        <w:rPr>
          <w:rFonts w:ascii="Times New Roman" w:hAnsi="Times New Roman" w:eastAsia="Times New Roman" w:cs="Times New Roman"/>
          <w:color w:val="000000"/>
          <w:sz w:val="24"/>
        </w:rPr>
        <w:t xml:space="preserve"> holds the parameter dictionary.</w:t>
      </w:r>
      <w:r/>
    </w:p>
    <w:p w14:paraId="2ECD9418">
      <w:pPr>
        <w:pStyle w:val="141"/>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3"/>
        </w:rPr>
        <w:t xml:space="preserve">corrosion.xlsx</w:t>
      </w:r>
      <w:r>
        <w:rPr>
          <w:rFonts w:ascii="Times New Roman" w:hAnsi="Times New Roman" w:eastAsia="Times New Roman" w:cs="Times New Roman"/>
          <w:b/>
          <w:color w:val="000000"/>
          <w:sz w:val="28"/>
        </w:rPr>
        <w:t xml:space="preserve"> — sheet </w:t>
      </w:r>
      <w:r>
        <w:rPr>
          <w:rFonts w:ascii="Courier New" w:hAnsi="Courier New" w:eastAsia="Courier New" w:cs="Courier New"/>
          <w:b/>
          <w:color w:val="000000"/>
          <w:sz w:val="23"/>
        </w:rPr>
        <w:t xml:space="preserve">S2CT2</w:t>
      </w:r>
      <w:r/>
    </w:p>
    <w:p w14:paraId="57610A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66 monthly rows, 2021-01 → 2026-07. Column </w:t>
      </w:r>
      <w:r>
        <w:rPr>
          <w:rFonts w:ascii="Courier New" w:hAnsi="Courier New" w:eastAsia="Courier New" w:cs="Courier New"/>
          <w:color w:val="000000"/>
          <w:sz w:val="20"/>
        </w:rPr>
        <w:t xml:space="preserve">corrosion</w:t>
      </w:r>
      <w:r>
        <w:rPr>
          <w:rFonts w:ascii="Times New Roman" w:hAnsi="Times New Roman" w:eastAsia="Times New Roman" w:cs="Times New Roman"/>
          <w:color w:val="000000"/>
          <w:sz w:val="24"/>
        </w:rPr>
        <w:t xml:space="preserve"> is the corrosion rate in </w:t>
      </w:r>
      <w:r>
        <w:rPr>
          <w:rFonts w:ascii="Times New Roman" w:hAnsi="Times New Roman" w:eastAsia="Times New Roman" w:cs="Times New Roman"/>
          <w:b/>
          <w:color w:val="000000"/>
          <w:sz w:val="24"/>
        </w:rPr>
        <w:t xml:space="preserve">mm/year</w:t>
      </w:r>
      <w:r>
        <w:rPr>
          <w:rFonts w:ascii="Times New Roman" w:hAnsi="Times New Roman" w:eastAsia="Times New Roman" w:cs="Times New Roman"/>
          <w:color w:val="000000"/>
          <w:sz w:val="24"/>
        </w:rPr>
        <w:t xml:space="preserve">, from weight-loss coupons exposed for roughly one month, plus </w:t>
      </w:r>
      <w:r>
        <w:rPr>
          <w:rFonts w:ascii="Courier New" w:hAnsi="Courier New" w:eastAsia="Courier New" w:cs="Courier New"/>
          <w:color w:val="000000"/>
          <w:sz w:val="20"/>
        </w:rPr>
        <w:t xml:space="preserve">type</w:t>
      </w:r>
      <w:r>
        <w:rPr>
          <w:rFonts w:ascii="Times New Roman" w:hAnsi="Times New Roman" w:eastAsia="Times New Roman" w:cs="Times New Roman"/>
          <w:color w:val="000000"/>
          <w:sz w:val="24"/>
        </w:rPr>
        <w:t xml:space="preserve"> (coupon metallurgy) and </w:t>
      </w:r>
      <w:r>
        <w:rPr>
          <w:rFonts w:ascii="Courier New" w:hAnsi="Courier New" w:eastAsia="Courier New" w:cs="Courier New"/>
          <w:color w:val="000000"/>
          <w:sz w:val="20"/>
        </w:rPr>
        <w:t xml:space="preserve">supplier</w:t>
      </w:r>
      <w:r>
        <w:rPr>
          <w:rFonts w:ascii="Times New Roman" w:hAnsi="Times New Roman" w:eastAsia="Times New Roman" w:cs="Times New Roman"/>
          <w:color w:val="000000"/>
          <w:sz w:val="24"/>
        </w:rPr>
        <w:t xml:space="preserve"> — 60 of 66 rows carry these.</w:t>
      </w:r>
      <w:r/>
    </w:p>
    <w:p w14:paraId="3DAEE0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main hard target, and it is the scarcest data in the set: one integrated value per month, so a coupon result is a month-long average, not a point measurement. Any model must respect that time support.</w:t>
      </w:r>
      <w:r/>
    </w:p>
    <w:p w14:paraId="65FA6D1E">
      <w:pPr>
        <w:pStyle w:val="141"/>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3"/>
        </w:rPr>
        <w:t xml:space="preserve">dosage_sched_june / july / august .xlsx</w:t>
      </w:r>
      <w:r>
        <w:rPr>
          <w:rFonts w:ascii="Times New Roman" w:hAnsi="Times New Roman" w:eastAsia="Times New Roman" w:cs="Times New Roman"/>
          <w:b/>
          <w:color w:val="000000"/>
          <w:sz w:val="28"/>
        </w:rPr>
        <w:t xml:space="preserve"> — sheet </w:t>
      </w:r>
      <w:r>
        <w:rPr>
          <w:rFonts w:ascii="Courier New" w:hAnsi="Courier New" w:eastAsia="Courier New" w:cs="Courier New"/>
          <w:b/>
          <w:color w:val="000000"/>
          <w:sz w:val="23"/>
        </w:rPr>
        <w:t xml:space="preserve">S2CT2</w:t>
      </w:r>
      <w:r/>
    </w:p>
    <w:p w14:paraId="35B335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Daily dosage in kg/day of commercial product, June–August </w:t>
      </w:r>
      <w:r>
        <w:rPr>
          <w:rFonts w:ascii="Times New Roman" w:hAnsi="Times New Roman" w:eastAsia="Times New Roman" w:cs="Times New Roman"/>
          <w:b/>
          <w:color w:val="000000"/>
          <w:sz w:val="24"/>
        </w:rPr>
        <w:t xml:space="preserve">2026</w:t>
      </w:r>
      <w:r>
        <w:rPr>
          <w:rFonts w:ascii="Times New Roman" w:hAnsi="Times New Roman" w:eastAsia="Times New Roman" w:cs="Times New Roman"/>
          <w:color w:val="000000"/>
          <w:sz w:val="24"/>
        </w:rPr>
        <w:t xml:space="preserve"> only (30 + 31 + 31 rows). Same 11 columns in each file; </w:t>
      </w:r>
      <w:r>
        <w:rPr>
          <w:rFonts w:ascii="Courier New" w:hAnsi="Courier New" w:eastAsia="Courier New" w:cs="Courier New"/>
          <w:color w:val="000000"/>
          <w:sz w:val="20"/>
        </w:rPr>
        <w:t xml:space="preserve">Abbr</w:t>
      </w:r>
      <w:r>
        <w:rPr>
          <w:rFonts w:ascii="Times New Roman" w:hAnsi="Times New Roman" w:eastAsia="Times New Roman" w:cs="Times New Roman"/>
          <w:color w:val="000000"/>
          <w:sz w:val="24"/>
        </w:rPr>
        <w:t xml:space="preserve"> sheet gives the key. Active-matter content is stated there and must be applied: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56"/>
        <w:gridCol w:w="2982"/>
        <w:gridCol w:w="3765"/>
      </w:tblGrid>
      <w:tr>
        <w:trPr/>
        <w:tc>
          <w:tcPr>
            <w:tcBorders/>
            <w:tcMar>
              <w:left w:w="15" w:type="dxa"/>
              <w:top w:w="15" w:type="dxa"/>
              <w:right w:w="15" w:type="dxa"/>
              <w:bottom w:w="15" w:type="dxa"/>
            </w:tcMar>
            <w:tcW w:w="1056" w:type="dxa"/>
            <w:vAlign w:val="center"/>
          </w:tcPr>
          <w:p w14:paraId="65AD4433">
            <w:pPr>
              <w:pBdr/>
              <w:spacing w:after="0" w:before="0" w:line="240"/>
              <w:ind/>
              <w:jc w:val="center"/>
              <w:rPr/>
            </w:pPr>
            <w:r>
              <w:rPr>
                <w:rFonts w:ascii="Times New Roman" w:hAnsi="Times New Roman" w:eastAsia="Times New Roman" w:cs="Times New Roman"/>
                <w:b/>
                <w:color w:val="000000"/>
                <w:sz w:val="24"/>
              </w:rPr>
              <w:t xml:space="preserve">Column</w:t>
            </w:r>
            <w:r/>
          </w:p>
        </w:tc>
        <w:tc>
          <w:tcPr>
            <w:tcBorders/>
            <w:tcMar>
              <w:left w:w="15" w:type="dxa"/>
              <w:top w:w="15" w:type="dxa"/>
              <w:right w:w="15" w:type="dxa"/>
              <w:bottom w:w="15" w:type="dxa"/>
            </w:tcMar>
            <w:tcW w:w="2982" w:type="dxa"/>
            <w:vAlign w:val="center"/>
          </w:tcPr>
          <w:p w14:paraId="7A6554E2">
            <w:pPr>
              <w:pBdr/>
              <w:spacing w:after="0" w:before="0" w:line="240"/>
              <w:ind/>
              <w:jc w:val="center"/>
              <w:rPr/>
            </w:pPr>
            <w:r>
              <w:rPr>
                <w:rFonts w:ascii="Times New Roman" w:hAnsi="Times New Roman" w:eastAsia="Times New Roman" w:cs="Times New Roman"/>
                <w:b/>
                <w:color w:val="000000"/>
                <w:sz w:val="24"/>
              </w:rPr>
              <w:t xml:space="preserve">Product</w:t>
            </w:r>
            <w:r/>
          </w:p>
        </w:tc>
        <w:tc>
          <w:tcPr>
            <w:tcBorders/>
            <w:tcMar>
              <w:left w:w="15" w:type="dxa"/>
              <w:top w:w="15" w:type="dxa"/>
              <w:right w:w="15" w:type="dxa"/>
              <w:bottom w:w="15" w:type="dxa"/>
            </w:tcMar>
            <w:tcW w:w="3765" w:type="dxa"/>
            <w:vAlign w:val="center"/>
          </w:tcPr>
          <w:p w14:paraId="658620AC">
            <w:pPr>
              <w:pBdr/>
              <w:spacing w:after="0" w:before="0" w:line="240"/>
              <w:ind/>
              <w:jc w:val="center"/>
              <w:rPr/>
            </w:pPr>
            <w:r>
              <w:rPr>
                <w:rFonts w:ascii="Times New Roman" w:hAnsi="Times New Roman" w:eastAsia="Times New Roman" w:cs="Times New Roman"/>
                <w:b/>
                <w:color w:val="000000"/>
                <w:sz w:val="24"/>
              </w:rPr>
              <w:t xml:space="preserve">Note</w:t>
            </w:r>
            <w:r/>
          </w:p>
        </w:tc>
      </w:tr>
      <w:tr>
        <w:trPr/>
        <w:tc>
          <w:tcPr>
            <w:tcBorders/>
            <w:tcMar>
              <w:left w:w="15" w:type="dxa"/>
              <w:top w:w="15" w:type="dxa"/>
              <w:right w:w="15" w:type="dxa"/>
              <w:bottom w:w="15" w:type="dxa"/>
            </w:tcMar>
            <w:tcW w:w="1056" w:type="dxa"/>
            <w:vAlign w:val="center"/>
          </w:tcPr>
          <w:p w14:paraId="51C2439E">
            <w:pPr>
              <w:pBdr/>
              <w:spacing w:after="0" w:before="0" w:line="240"/>
              <w:ind/>
              <w:rPr/>
            </w:pPr>
            <w:r>
              <w:rPr>
                <w:rFonts w:ascii="Courier New" w:hAnsi="Courier New" w:eastAsia="Courier New" w:cs="Courier New"/>
                <w:color w:val="000000"/>
                <w:sz w:val="20"/>
              </w:rPr>
              <w:t xml:space="preserve">h3po4_85</w:t>
            </w:r>
            <w:r/>
          </w:p>
        </w:tc>
        <w:tc>
          <w:tcPr>
            <w:tcBorders/>
            <w:tcMar>
              <w:left w:w="15" w:type="dxa"/>
              <w:top w:w="15" w:type="dxa"/>
              <w:right w:w="15" w:type="dxa"/>
              <w:bottom w:w="15" w:type="dxa"/>
            </w:tcMar>
            <w:tcW w:w="2982" w:type="dxa"/>
            <w:vAlign w:val="center"/>
          </w:tcPr>
          <w:p w14:paraId="2BA7F10D">
            <w:pPr>
              <w:pBdr/>
              <w:spacing w:after="0" w:before="0" w:line="240"/>
              <w:ind/>
              <w:rPr/>
            </w:pPr>
            <w:r>
              <w:rPr>
                <w:rFonts w:ascii="Times New Roman" w:hAnsi="Times New Roman" w:eastAsia="Times New Roman" w:cs="Times New Roman"/>
                <w:color w:val="000000"/>
                <w:sz w:val="24"/>
              </w:rPr>
              <w:t xml:space="preserve">phosphoric acid 85 %</w:t>
            </w:r>
            <w:r/>
          </w:p>
        </w:tc>
        <w:tc>
          <w:tcPr>
            <w:tcBorders/>
            <w:tcMar>
              <w:left w:w="15" w:type="dxa"/>
              <w:top w:w="15" w:type="dxa"/>
              <w:right w:w="15" w:type="dxa"/>
              <w:bottom w:w="15" w:type="dxa"/>
            </w:tcMar>
            <w:tcW w:w="3765" w:type="dxa"/>
            <w:vAlign w:val="center"/>
          </w:tcPr>
          <w:p w14:paraId="43092286">
            <w:pPr>
              <w:pBdr/>
              <w:spacing w:after="0" w:before="0" w:line="240"/>
              <w:ind/>
              <w:rPr/>
            </w:pPr>
            <w:r>
              <w:rPr>
                <w:rFonts w:ascii="Times New Roman" w:hAnsi="Times New Roman" w:eastAsia="Times New Roman" w:cs="Times New Roman"/>
                <w:color w:val="000000"/>
                <w:sz w:val="24"/>
              </w:rPr>
              <w:t xml:space="preserve">yields 82 % as orthophosphate</w:t>
            </w:r>
            <w:r/>
          </w:p>
        </w:tc>
      </w:tr>
      <w:tr>
        <w:trPr/>
        <w:tc>
          <w:tcPr>
            <w:tcBorders/>
            <w:tcMar>
              <w:left w:w="15" w:type="dxa"/>
              <w:top w:w="15" w:type="dxa"/>
              <w:right w:w="15" w:type="dxa"/>
              <w:bottom w:w="15" w:type="dxa"/>
            </w:tcMar>
            <w:tcW w:w="1056" w:type="dxa"/>
            <w:vAlign w:val="center"/>
          </w:tcPr>
          <w:p w14:paraId="22E5C98A">
            <w:pPr>
              <w:pBdr/>
              <w:spacing w:after="0" w:before="0" w:line="240"/>
              <w:ind/>
              <w:rPr/>
            </w:pPr>
            <w:r>
              <w:rPr>
                <w:rFonts w:ascii="Courier New" w:hAnsi="Courier New" w:eastAsia="Courier New" w:cs="Courier New"/>
                <w:color w:val="000000"/>
                <w:sz w:val="20"/>
              </w:rPr>
              <w:t xml:space="preserve">pbtc_50</w:t>
            </w:r>
            <w:r/>
          </w:p>
        </w:tc>
        <w:tc>
          <w:tcPr>
            <w:tcBorders/>
            <w:tcMar>
              <w:left w:w="15" w:type="dxa"/>
              <w:top w:w="15" w:type="dxa"/>
              <w:right w:w="15" w:type="dxa"/>
              <w:bottom w:w="15" w:type="dxa"/>
            </w:tcMar>
            <w:tcW w:w="2982" w:type="dxa"/>
            <w:vAlign w:val="center"/>
          </w:tcPr>
          <w:p w14:paraId="77C5F4F2">
            <w:pPr>
              <w:pBdr/>
              <w:spacing w:after="0" w:before="0" w:line="240"/>
              <w:ind/>
              <w:rPr/>
            </w:pPr>
            <w:r>
              <w:rPr>
                <w:rFonts w:ascii="Times New Roman" w:hAnsi="Times New Roman" w:eastAsia="Times New Roman" w:cs="Times New Roman"/>
                <w:color w:val="000000"/>
                <w:sz w:val="24"/>
              </w:rPr>
              <w:t xml:space="preserve">PBTC 50 % — scale inhibitor</w:t>
            </w:r>
            <w:r/>
          </w:p>
        </w:tc>
        <w:tc>
          <w:tcPr>
            <w:tcBorders/>
            <w:tcMar>
              <w:left w:w="15" w:type="dxa"/>
              <w:top w:w="15" w:type="dxa"/>
              <w:right w:w="15" w:type="dxa"/>
              <w:bottom w:w="15" w:type="dxa"/>
            </w:tcMar>
            <w:tcW w:w="3765" w:type="dxa"/>
            <w:vAlign w:val="center"/>
          </w:tcPr>
          <w:p w14:paraId="3044ADB9">
            <w:pPr>
              <w:pBdr/>
              <w:spacing w:after="0" w:before="0" w:line="240"/>
              <w:ind/>
              <w:rPr/>
            </w:pPr>
            <w:r>
              <w:rPr>
                <w:rFonts w:ascii="Times New Roman" w:hAnsi="Times New Roman" w:eastAsia="Times New Roman" w:cs="Times New Roman"/>
                <w:color w:val="000000"/>
                <w:sz w:val="24"/>
              </w:rPr>
              <w:t xml:space="preserve">yields 15 % as organic phosphate</w:t>
            </w:r>
            <w:r/>
          </w:p>
        </w:tc>
      </w:tr>
      <w:tr>
        <w:trPr/>
        <w:tc>
          <w:tcPr>
            <w:tcBorders/>
            <w:tcMar>
              <w:left w:w="15" w:type="dxa"/>
              <w:top w:w="15" w:type="dxa"/>
              <w:right w:w="15" w:type="dxa"/>
              <w:bottom w:w="15" w:type="dxa"/>
            </w:tcMar>
            <w:tcW w:w="1056" w:type="dxa"/>
            <w:vAlign w:val="center"/>
          </w:tcPr>
          <w:p w14:paraId="3B429447">
            <w:pPr>
              <w:pBdr/>
              <w:spacing w:after="0" w:before="0" w:line="240"/>
              <w:ind/>
              <w:rPr/>
            </w:pPr>
            <w:r>
              <w:rPr>
                <w:rFonts w:ascii="Courier New" w:hAnsi="Courier New" w:eastAsia="Courier New" w:cs="Courier New"/>
                <w:color w:val="000000"/>
                <w:sz w:val="20"/>
              </w:rPr>
              <w:t xml:space="preserve">th3100</w:t>
            </w:r>
            <w:r/>
          </w:p>
        </w:tc>
        <w:tc>
          <w:tcPr>
            <w:tcBorders/>
            <w:tcMar>
              <w:left w:w="15" w:type="dxa"/>
              <w:top w:w="15" w:type="dxa"/>
              <w:right w:w="15" w:type="dxa"/>
              <w:bottom w:w="15" w:type="dxa"/>
            </w:tcMar>
            <w:tcW w:w="2982" w:type="dxa"/>
            <w:vAlign w:val="center"/>
          </w:tcPr>
          <w:p w14:paraId="1C0BCADD">
            <w:pPr>
              <w:pBdr/>
              <w:spacing w:after="0" w:before="0" w:line="240"/>
              <w:ind/>
              <w:rPr/>
            </w:pPr>
            <w:r>
              <w:rPr>
                <w:rFonts w:ascii="Times New Roman" w:hAnsi="Times New Roman" w:eastAsia="Times New Roman" w:cs="Times New Roman"/>
                <w:color w:val="000000"/>
                <w:sz w:val="24"/>
              </w:rPr>
              <w:t xml:space="preserve">TH-3100, 42 % AA/AMPS</w:t>
            </w:r>
            <w:r/>
          </w:p>
        </w:tc>
        <w:tc>
          <w:tcPr>
            <w:tcBorders/>
            <w:tcMar>
              <w:left w:w="15" w:type="dxa"/>
              <w:top w:w="15" w:type="dxa"/>
              <w:right w:w="15" w:type="dxa"/>
              <w:bottom w:w="15" w:type="dxa"/>
            </w:tcMar>
            <w:tcW w:w="3765" w:type="dxa"/>
            <w:vAlign w:val="center"/>
          </w:tcPr>
          <w:p w14:paraId="5BA64082">
            <w:pPr>
              <w:pBdr/>
              <w:spacing w:after="0" w:before="0" w:line="240"/>
              <w:ind/>
              <w:rPr/>
            </w:pPr>
            <w:r>
              <w:rPr>
                <w:rFonts w:ascii="Times New Roman" w:hAnsi="Times New Roman" w:eastAsia="Times New Roman" w:cs="Times New Roman"/>
                <w:color w:val="000000"/>
                <w:sz w:val="24"/>
              </w:rPr>
              <w:t xml:space="preserve">polymeric dispersant</w:t>
            </w:r>
            <w:r/>
          </w:p>
        </w:tc>
      </w:tr>
      <w:tr>
        <w:trPr/>
        <w:tc>
          <w:tcPr>
            <w:tcBorders/>
            <w:tcMar>
              <w:left w:w="15" w:type="dxa"/>
              <w:top w:w="15" w:type="dxa"/>
              <w:right w:w="15" w:type="dxa"/>
              <w:bottom w:w="15" w:type="dxa"/>
            </w:tcMar>
            <w:tcW w:w="1056" w:type="dxa"/>
            <w:vAlign w:val="center"/>
          </w:tcPr>
          <w:p w14:paraId="213AB831">
            <w:pPr>
              <w:pBdr/>
              <w:spacing w:after="0" w:before="0" w:line="240"/>
              <w:ind/>
              <w:rPr/>
            </w:pPr>
            <w:r>
              <w:rPr>
                <w:rFonts w:ascii="Courier New" w:hAnsi="Courier New" w:eastAsia="Courier New" w:cs="Courier New"/>
                <w:color w:val="000000"/>
                <w:sz w:val="20"/>
              </w:rPr>
              <w:t xml:space="preserve">pg</w:t>
            </w:r>
            <w:r/>
          </w:p>
        </w:tc>
        <w:tc>
          <w:tcPr>
            <w:tcBorders/>
            <w:tcMar>
              <w:left w:w="15" w:type="dxa"/>
              <w:top w:w="15" w:type="dxa"/>
              <w:right w:w="15" w:type="dxa"/>
              <w:bottom w:w="15" w:type="dxa"/>
            </w:tcMar>
            <w:tcW w:w="2982" w:type="dxa"/>
            <w:vAlign w:val="center"/>
          </w:tcPr>
          <w:p w14:paraId="2648CDDC">
            <w:pPr>
              <w:pBdr/>
              <w:spacing w:after="0" w:before="0" w:line="240"/>
              <w:ind/>
              <w:rPr/>
            </w:pPr>
            <w:r>
              <w:rPr>
                <w:rFonts w:ascii="Times New Roman" w:hAnsi="Times New Roman" w:eastAsia="Times New Roman" w:cs="Times New Roman"/>
                <w:color w:val="000000"/>
                <w:sz w:val="24"/>
              </w:rPr>
              <w:t xml:space="preserve">polyglycol — biodispersant</w:t>
            </w:r>
            <w:r/>
          </w:p>
        </w:tc>
        <w:tc>
          <w:tcPr>
            <w:tcBorders/>
            <w:tcMar>
              <w:left w:w="15" w:type="dxa"/>
              <w:top w:w="15" w:type="dxa"/>
              <w:right w:w="15" w:type="dxa"/>
              <w:bottom w:w="15" w:type="dxa"/>
            </w:tcMar>
            <w:tcW w:w="3765" w:type="dxa"/>
            <w:vAlign w:val="center"/>
          </w:tcPr>
          <w:p w14:paraId="2BB96D7D">
            <w:pPr>
              <w:pBdr/>
              <w:spacing w:after="0" w:before="0" w:line="240"/>
              <w:ind/>
              <w:rPr/>
            </w:pPr>
            <w:r>
              <w:rPr>
                <w:rFonts w:ascii="Times New Roman" w:hAnsi="Times New Roman" w:eastAsia="Times New Roman" w:cs="Times New Roman"/>
                <w:color w:val="000000"/>
                <w:sz w:val="24"/>
              </w:rPr>
              <w:t xml:space="preserve">a poor product choice, kept for honesty</w:t>
            </w:r>
            <w:r/>
          </w:p>
        </w:tc>
      </w:tr>
      <w:tr>
        <w:trPr/>
        <w:tc>
          <w:tcPr>
            <w:tcBorders/>
            <w:tcMar>
              <w:left w:w="15" w:type="dxa"/>
              <w:top w:w="15" w:type="dxa"/>
              <w:right w:w="15" w:type="dxa"/>
              <w:bottom w:w="15" w:type="dxa"/>
            </w:tcMar>
            <w:tcW w:w="1056" w:type="dxa"/>
            <w:vAlign w:val="center"/>
          </w:tcPr>
          <w:p w14:paraId="6CA834F7">
            <w:pPr>
              <w:pBdr/>
              <w:spacing w:after="0" w:before="0" w:line="240"/>
              <w:ind/>
              <w:rPr/>
            </w:pPr>
            <w:r>
              <w:rPr>
                <w:rFonts w:ascii="Courier New" w:hAnsi="Courier New" w:eastAsia="Courier New" w:cs="Courier New"/>
                <w:color w:val="000000"/>
                <w:sz w:val="20"/>
              </w:rPr>
              <w:t xml:space="preserve">cmitmit</w:t>
            </w:r>
            <w:r/>
          </w:p>
        </w:tc>
        <w:tc>
          <w:tcPr>
            <w:tcBorders/>
            <w:tcMar>
              <w:left w:w="15" w:type="dxa"/>
              <w:top w:w="15" w:type="dxa"/>
              <w:right w:w="15" w:type="dxa"/>
              <w:bottom w:w="15" w:type="dxa"/>
            </w:tcMar>
            <w:tcW w:w="2982" w:type="dxa"/>
            <w:vAlign w:val="center"/>
          </w:tcPr>
          <w:p w14:paraId="4E9ED321">
            <w:pPr>
              <w:pBdr/>
              <w:spacing w:after="0" w:before="0" w:line="240"/>
              <w:ind/>
              <w:rPr/>
            </w:pPr>
            <w:r>
              <w:rPr>
                <w:rFonts w:ascii="Times New Roman" w:hAnsi="Times New Roman" w:eastAsia="Times New Roman" w:cs="Times New Roman"/>
                <w:color w:val="000000"/>
                <w:sz w:val="24"/>
              </w:rPr>
              <w:t xml:space="preserve">CMIT/MIT 14 %</w:t>
            </w:r>
            <w:r/>
          </w:p>
        </w:tc>
        <w:tc>
          <w:tcPr>
            <w:tcBorders/>
            <w:tcMar>
              <w:left w:w="15" w:type="dxa"/>
              <w:top w:w="15" w:type="dxa"/>
              <w:right w:w="15" w:type="dxa"/>
              <w:bottom w:w="15" w:type="dxa"/>
            </w:tcMar>
            <w:tcW w:w="3765" w:type="dxa"/>
            <w:vAlign w:val="center"/>
          </w:tcPr>
          <w:p w14:paraId="764D7A74">
            <w:pPr>
              <w:pBdr/>
              <w:spacing w:after="0" w:before="0" w:line="240"/>
              <w:ind/>
              <w:rPr/>
            </w:pPr>
            <w:r>
              <w:rPr>
                <w:rFonts w:ascii="Times New Roman" w:hAnsi="Times New Roman" w:eastAsia="Times New Roman" w:cs="Times New Roman"/>
                <w:color w:val="000000"/>
                <w:sz w:val="24"/>
              </w:rPr>
              <w:t xml:space="preserve">non-oxidising biocide</w:t>
            </w:r>
            <w:r/>
          </w:p>
        </w:tc>
      </w:tr>
      <w:tr>
        <w:trPr/>
        <w:tc>
          <w:tcPr>
            <w:tcBorders/>
            <w:tcMar>
              <w:left w:w="15" w:type="dxa"/>
              <w:top w:w="15" w:type="dxa"/>
              <w:right w:w="15" w:type="dxa"/>
              <w:bottom w:w="15" w:type="dxa"/>
            </w:tcMar>
            <w:tcW w:w="1056" w:type="dxa"/>
            <w:vAlign w:val="center"/>
          </w:tcPr>
          <w:p w14:paraId="00EE326A">
            <w:pPr>
              <w:pBdr/>
              <w:spacing w:after="0" w:before="0" w:line="240"/>
              <w:ind/>
              <w:rPr/>
            </w:pPr>
            <w:r>
              <w:rPr>
                <w:rFonts w:ascii="Courier New" w:hAnsi="Courier New" w:eastAsia="Courier New" w:cs="Courier New"/>
                <w:color w:val="000000"/>
                <w:sz w:val="20"/>
              </w:rPr>
              <w:t xml:space="preserve">dbnpa</w:t>
            </w:r>
            <w:r/>
          </w:p>
        </w:tc>
        <w:tc>
          <w:tcPr>
            <w:tcBorders/>
            <w:tcMar>
              <w:left w:w="15" w:type="dxa"/>
              <w:top w:w="15" w:type="dxa"/>
              <w:right w:w="15" w:type="dxa"/>
              <w:bottom w:w="15" w:type="dxa"/>
            </w:tcMar>
            <w:tcW w:w="2982" w:type="dxa"/>
            <w:vAlign w:val="center"/>
          </w:tcPr>
          <w:p w14:paraId="7ADF104D">
            <w:pPr>
              <w:pBdr/>
              <w:spacing w:after="0" w:before="0" w:line="240"/>
              <w:ind/>
              <w:rPr/>
            </w:pPr>
            <w:r>
              <w:rPr>
                <w:rFonts w:ascii="Times New Roman" w:hAnsi="Times New Roman" w:eastAsia="Times New Roman" w:cs="Times New Roman"/>
                <w:color w:val="000000"/>
                <w:sz w:val="24"/>
              </w:rPr>
              <w:t xml:space="preserve">DBNPA, solid</w:t>
            </w:r>
            <w:r/>
          </w:p>
        </w:tc>
        <w:tc>
          <w:tcPr>
            <w:tcBorders/>
            <w:tcMar>
              <w:left w:w="15" w:type="dxa"/>
              <w:top w:w="15" w:type="dxa"/>
              <w:right w:w="15" w:type="dxa"/>
              <w:bottom w:w="15" w:type="dxa"/>
            </w:tcMar>
            <w:tcW w:w="3765" w:type="dxa"/>
            <w:vAlign w:val="center"/>
          </w:tcPr>
          <w:p w14:paraId="77DF659D">
            <w:pPr>
              <w:pBdr/>
              <w:spacing w:after="0" w:before="0" w:line="240"/>
              <w:ind/>
              <w:rPr/>
            </w:pPr>
            <w:r>
              <w:rPr>
                <w:rFonts w:ascii="Times New Roman" w:hAnsi="Times New Roman" w:eastAsia="Times New Roman" w:cs="Times New Roman"/>
                <w:color w:val="000000"/>
                <w:sz w:val="24"/>
              </w:rPr>
              <w:t xml:space="preserve">non-oxidising biocide</w:t>
            </w:r>
            <w:r/>
          </w:p>
        </w:tc>
      </w:tr>
      <w:tr>
        <w:trPr/>
        <w:tc>
          <w:tcPr>
            <w:tcBorders/>
            <w:tcMar>
              <w:left w:w="15" w:type="dxa"/>
              <w:top w:w="15" w:type="dxa"/>
              <w:right w:w="15" w:type="dxa"/>
              <w:bottom w:w="15" w:type="dxa"/>
            </w:tcMar>
            <w:tcW w:w="1056" w:type="dxa"/>
            <w:vAlign w:val="center"/>
          </w:tcPr>
          <w:p w14:paraId="29EB8258">
            <w:pPr>
              <w:pBdr/>
              <w:spacing w:after="0" w:before="0" w:line="240"/>
              <w:ind/>
              <w:rPr/>
            </w:pPr>
            <w:r>
              <w:rPr>
                <w:rFonts w:ascii="Courier New" w:hAnsi="Courier New" w:eastAsia="Courier New" w:cs="Courier New"/>
                <w:color w:val="000000"/>
                <w:sz w:val="20"/>
              </w:rPr>
              <w:t xml:space="preserve">peg</w:t>
            </w:r>
            <w:r/>
          </w:p>
        </w:tc>
        <w:tc>
          <w:tcPr>
            <w:tcBorders/>
            <w:tcMar>
              <w:left w:w="15" w:type="dxa"/>
              <w:top w:w="15" w:type="dxa"/>
              <w:right w:w="15" w:type="dxa"/>
              <w:bottom w:w="15" w:type="dxa"/>
            </w:tcMar>
            <w:tcW w:w="2982" w:type="dxa"/>
            <w:vAlign w:val="center"/>
          </w:tcPr>
          <w:p w14:paraId="73773D6F">
            <w:pPr>
              <w:pBdr/>
              <w:spacing w:after="0" w:before="0" w:line="240"/>
              <w:ind/>
              <w:rPr/>
            </w:pPr>
            <w:r>
              <w:rPr>
                <w:rFonts w:ascii="Times New Roman" w:hAnsi="Times New Roman" w:eastAsia="Times New Roman" w:cs="Times New Roman"/>
                <w:color w:val="000000"/>
                <w:sz w:val="24"/>
              </w:rPr>
              <w:t xml:space="preserve">polyethylene glycol</w:t>
            </w:r>
            <w:r/>
          </w:p>
        </w:tc>
        <w:tc>
          <w:tcPr>
            <w:tcBorders/>
            <w:tcMar>
              <w:left w:w="15" w:type="dxa"/>
              <w:top w:w="15" w:type="dxa"/>
              <w:right w:w="15" w:type="dxa"/>
              <w:bottom w:w="15" w:type="dxa"/>
            </w:tcMar>
            <w:tcW w:w="3765" w:type="dxa"/>
            <w:vAlign w:val="center"/>
          </w:tcPr>
          <w:p w14:paraId="442CACA9">
            <w:pPr>
              <w:pBdr/>
              <w:spacing w:after="0" w:before="0" w:line="240"/>
              <w:ind/>
              <w:rPr/>
            </w:pPr>
            <w:r>
              <w:rPr>
                <w:rFonts w:ascii="Times New Roman" w:hAnsi="Times New Roman" w:eastAsia="Times New Roman" w:cs="Times New Roman"/>
                <w:color w:val="000000"/>
                <w:sz w:val="24"/>
              </w:rPr>
              <w:t xml:space="preserve">solvent for DBNPA, not an active</w:t>
            </w:r>
            <w:r/>
          </w:p>
        </w:tc>
      </w:tr>
      <w:tr>
        <w:trPr/>
        <w:tc>
          <w:tcPr>
            <w:tcBorders/>
            <w:tcMar>
              <w:left w:w="15" w:type="dxa"/>
              <w:top w:w="15" w:type="dxa"/>
              <w:right w:w="15" w:type="dxa"/>
              <w:bottom w:w="15" w:type="dxa"/>
            </w:tcMar>
            <w:tcW w:w="1056" w:type="dxa"/>
            <w:vAlign w:val="center"/>
          </w:tcPr>
          <w:p w14:paraId="7AAD0FB7">
            <w:pPr>
              <w:pBdr/>
              <w:spacing w:after="0" w:before="0" w:line="240"/>
              <w:ind/>
              <w:rPr/>
            </w:pPr>
            <w:r>
              <w:rPr>
                <w:rFonts w:ascii="Courier New" w:hAnsi="Courier New" w:eastAsia="Courier New" w:cs="Courier New"/>
                <w:color w:val="000000"/>
                <w:sz w:val="20"/>
              </w:rPr>
              <w:t xml:space="preserve">ddac_50</w:t>
            </w:r>
            <w:r/>
          </w:p>
        </w:tc>
        <w:tc>
          <w:tcPr>
            <w:tcBorders/>
            <w:tcMar>
              <w:left w:w="15" w:type="dxa"/>
              <w:top w:w="15" w:type="dxa"/>
              <w:right w:w="15" w:type="dxa"/>
              <w:bottom w:w="15" w:type="dxa"/>
            </w:tcMar>
            <w:tcW w:w="2982" w:type="dxa"/>
            <w:vAlign w:val="center"/>
          </w:tcPr>
          <w:p w14:paraId="0F113C90">
            <w:pPr>
              <w:pBdr/>
              <w:spacing w:after="0" w:before="0" w:line="240"/>
              <w:ind/>
              <w:rPr/>
            </w:pPr>
            <w:r>
              <w:rPr>
                <w:rFonts w:ascii="Times New Roman" w:hAnsi="Times New Roman" w:eastAsia="Times New Roman" w:cs="Times New Roman"/>
                <w:color w:val="000000"/>
                <w:sz w:val="24"/>
              </w:rPr>
              <w:t xml:space="preserve">quaternary amine 50 %</w:t>
            </w:r>
            <w:r/>
          </w:p>
        </w:tc>
        <w:tc>
          <w:tcPr>
            <w:tcBorders/>
            <w:tcMar>
              <w:left w:w="15" w:type="dxa"/>
              <w:top w:w="15" w:type="dxa"/>
              <w:right w:w="15" w:type="dxa"/>
              <w:bottom w:w="15" w:type="dxa"/>
            </w:tcMar>
            <w:tcW w:w="3765" w:type="dxa"/>
            <w:vAlign w:val="center"/>
          </w:tcPr>
          <w:p w14:paraId="45D5EB19">
            <w:pPr>
              <w:pBdr/>
              <w:spacing w:after="0" w:before="0" w:line="240"/>
              <w:ind/>
              <w:rPr/>
            </w:pPr>
            <w:r>
              <w:rPr>
                <w:rFonts w:ascii="Times New Roman" w:hAnsi="Times New Roman" w:eastAsia="Times New Roman" w:cs="Times New Roman"/>
                <w:color w:val="000000"/>
                <w:sz w:val="24"/>
              </w:rPr>
              <w:t xml:space="preserve">non-oxidising biocide</w:t>
            </w:r>
            <w:r/>
          </w:p>
        </w:tc>
      </w:tr>
      <w:tr>
        <w:trPr/>
        <w:tc>
          <w:tcPr>
            <w:tcBorders/>
            <w:tcMar>
              <w:left w:w="15" w:type="dxa"/>
              <w:top w:w="15" w:type="dxa"/>
              <w:right w:w="15" w:type="dxa"/>
              <w:bottom w:w="15" w:type="dxa"/>
            </w:tcMar>
            <w:tcW w:w="1056" w:type="dxa"/>
            <w:vAlign w:val="center"/>
          </w:tcPr>
          <w:p w14:paraId="0F2DE22C">
            <w:pPr>
              <w:pBdr/>
              <w:spacing w:after="0" w:before="0" w:line="240"/>
              <w:ind/>
              <w:rPr/>
            </w:pPr>
            <w:r>
              <w:rPr>
                <w:rFonts w:ascii="Courier New" w:hAnsi="Courier New" w:eastAsia="Courier New" w:cs="Courier New"/>
                <w:color w:val="000000"/>
                <w:sz w:val="20"/>
              </w:rPr>
              <w:t xml:space="preserve">js67</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js68</w:t>
            </w:r>
            <w:r/>
          </w:p>
        </w:tc>
        <w:tc>
          <w:tcPr>
            <w:tcBorders/>
            <w:tcMar>
              <w:left w:w="15" w:type="dxa"/>
              <w:top w:w="15" w:type="dxa"/>
              <w:right w:w="15" w:type="dxa"/>
              <w:bottom w:w="15" w:type="dxa"/>
            </w:tcMar>
            <w:tcW w:w="2982" w:type="dxa"/>
            <w:vAlign w:val="center"/>
          </w:tcPr>
          <w:p w14:paraId="45CA7E39">
            <w:pPr>
              <w:pBdr/>
              <w:spacing w:after="0" w:before="0" w:line="240"/>
              <w:ind/>
              <w:rPr/>
            </w:pPr>
            <w:r>
              <w:rPr>
                <w:rFonts w:ascii="Times New Roman" w:hAnsi="Times New Roman" w:eastAsia="Times New Roman" w:cs="Times New Roman"/>
                <w:color w:val="000000"/>
                <w:sz w:val="24"/>
              </w:rPr>
              <w:t xml:space="preserve">commercial CMIT/MIT blends</w:t>
            </w:r>
            <w:r/>
          </w:p>
        </w:tc>
        <w:tc>
          <w:tcPr>
            <w:tcBorders/>
            <w:tcMar>
              <w:left w:w="15" w:type="dxa"/>
              <w:top w:w="15" w:type="dxa"/>
              <w:right w:w="15" w:type="dxa"/>
              <w:bottom w:w="15" w:type="dxa"/>
            </w:tcMar>
            <w:tcW w:w="3765" w:type="dxa"/>
            <w:vAlign w:val="center"/>
          </w:tcPr>
          <w:p w14:paraId="1B9730E8">
            <w:pPr>
              <w:pBdr/>
              <w:spacing w:after="0" w:before="0" w:line="240"/>
              <w:ind/>
              <w:rPr/>
            </w:pPr>
            <w:r/>
          </w:p>
        </w:tc>
      </w:tr>
      <w:tr>
        <w:trPr/>
        <w:tc>
          <w:tcPr>
            <w:tcBorders/>
            <w:tcMar>
              <w:left w:w="15" w:type="dxa"/>
              <w:top w:w="15" w:type="dxa"/>
              <w:right w:w="15" w:type="dxa"/>
              <w:bottom w:w="15" w:type="dxa"/>
            </w:tcMar>
            <w:tcW w:w="1056" w:type="dxa"/>
            <w:vAlign w:val="center"/>
          </w:tcPr>
          <w:p w14:paraId="642894E5">
            <w:pPr>
              <w:pBdr/>
              <w:spacing w:after="0" w:before="0" w:line="240"/>
              <w:ind/>
              <w:rPr/>
            </w:pPr>
            <w:r>
              <w:rPr>
                <w:rFonts w:ascii="Courier New" w:hAnsi="Courier New" w:eastAsia="Courier New" w:cs="Courier New"/>
                <w:color w:val="000000"/>
                <w:sz w:val="20"/>
              </w:rPr>
              <w:t xml:space="preserve">naclo</w:t>
            </w:r>
            <w:r/>
          </w:p>
        </w:tc>
        <w:tc>
          <w:tcPr>
            <w:tcBorders/>
            <w:tcMar>
              <w:left w:w="15" w:type="dxa"/>
              <w:top w:w="15" w:type="dxa"/>
              <w:right w:w="15" w:type="dxa"/>
              <w:bottom w:w="15" w:type="dxa"/>
            </w:tcMar>
            <w:tcW w:w="2982" w:type="dxa"/>
            <w:vAlign w:val="center"/>
          </w:tcPr>
          <w:p w14:paraId="2F1949DA">
            <w:pPr>
              <w:pBdr/>
              <w:spacing w:after="0" w:before="0" w:line="240"/>
              <w:ind/>
              <w:rPr/>
            </w:pPr>
            <w:r>
              <w:rPr>
                <w:rFonts w:ascii="Times New Roman" w:hAnsi="Times New Roman" w:eastAsia="Times New Roman" w:cs="Times New Roman"/>
                <w:color w:val="000000"/>
                <w:sz w:val="24"/>
              </w:rPr>
              <w:t xml:space="preserve">sodium hypochlorite</w:t>
            </w:r>
            <w:r/>
          </w:p>
        </w:tc>
        <w:tc>
          <w:tcPr>
            <w:tcBorders/>
            <w:tcMar>
              <w:left w:w="15" w:type="dxa"/>
              <w:top w:w="15" w:type="dxa"/>
              <w:right w:w="15" w:type="dxa"/>
              <w:bottom w:w="15" w:type="dxa"/>
            </w:tcMar>
            <w:tcW w:w="3765" w:type="dxa"/>
            <w:vAlign w:val="center"/>
          </w:tcPr>
          <w:p w14:paraId="49FB5A00">
            <w:pPr>
              <w:pBdr/>
              <w:spacing w:after="0" w:before="0" w:line="240"/>
              <w:ind/>
              <w:rPr/>
            </w:pPr>
            <w:r>
              <w:rPr>
                <w:rFonts w:ascii="Times New Roman" w:hAnsi="Times New Roman" w:eastAsia="Times New Roman" w:cs="Times New Roman"/>
                <w:color w:val="000000"/>
                <w:sz w:val="24"/>
              </w:rPr>
              <w:t xml:space="preserve">oxidising biocide</w:t>
            </w:r>
            <w:r/>
          </w:p>
        </w:tc>
      </w:tr>
    </w:tbl>
    <w:p w14:paraId="49E2D8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June file also contains two raw operator log sheets (</w:t>
      </w:r>
      <w:r>
        <w:rPr>
          <w:rFonts w:ascii="Courier New" w:hAnsi="Courier New" w:eastAsia="Courier New" w:cs="Courier New"/>
          <w:color w:val="000000"/>
          <w:sz w:val="20"/>
        </w:rPr>
        <w:t xml:space="preserve">350</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800</w:t>
      </w:r>
      <w:r>
        <w:rPr>
          <w:rFonts w:ascii="Times New Roman" w:hAnsi="Times New Roman" w:eastAsia="Times New Roman" w:cs="Times New Roman"/>
          <w:color w:val="000000"/>
          <w:sz w:val="24"/>
        </w:rPr>
        <w:t xml:space="preserve">, in Russian) and an empty </w:t>
      </w:r>
      <w:r>
        <w:rPr>
          <w:rFonts w:ascii="Courier New" w:hAnsi="Courier New" w:eastAsia="Courier New" w:cs="Courier New"/>
          <w:color w:val="000000"/>
          <w:sz w:val="20"/>
        </w:rPr>
        <w:t xml:space="preserve">Лист1</w:t>
      </w:r>
      <w:r>
        <w:rPr>
          <w:rFonts w:ascii="Times New Roman" w:hAnsi="Times New Roman" w:eastAsia="Times New Roman" w:cs="Times New Roman"/>
          <w:color w:val="000000"/>
          <w:sz w:val="24"/>
        </w:rPr>
        <w:t xml:space="preserve"> — ignore them, the </w:t>
      </w:r>
      <w:r>
        <w:rPr>
          <w:rFonts w:ascii="Courier New" w:hAnsi="Courier New" w:eastAsia="Courier New" w:cs="Courier New"/>
          <w:color w:val="000000"/>
          <w:sz w:val="20"/>
        </w:rPr>
        <w:t xml:space="preserve">S2CT2</w:t>
      </w:r>
      <w:r>
        <w:rPr>
          <w:rFonts w:ascii="Times New Roman" w:hAnsi="Times New Roman" w:eastAsia="Times New Roman" w:cs="Times New Roman"/>
          <w:color w:val="000000"/>
          <w:sz w:val="24"/>
        </w:rPr>
        <w:t xml:space="preserve"> sheet is the cleaned version.</w:t>
      </w:r>
      <w:r/>
    </w:p>
    <w:p w14:paraId="3A6547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turn kg/day into something comparable with a measured residual: </w:t>
      </w:r>
      <w:r>
        <w:rPr>
          <w:rFonts w:ascii="Courier New" w:hAnsi="Courier New" w:eastAsia="Courier New" w:cs="Courier New"/>
          <w:color w:val="000000"/>
          <w:sz w:val="20"/>
        </w:rPr>
        <w:t xml:space="preserve">ppm ≈ kg/day × active_fraction × 1000 / (flow_m3/h × 24)</w:t>
      </w:r>
      <w:r>
        <w:rPr>
          <w:rFonts w:ascii="Times New Roman" w:hAnsi="Times New Roman" w:eastAsia="Times New Roman" w:cs="Times New Roman"/>
          <w:color w:val="000000"/>
          <w:sz w:val="24"/>
        </w:rPr>
        <w:t xml:space="preserve">, using </w:t>
      </w:r>
      <w:r>
        <w:rPr>
          <w:rFonts w:ascii="Times New Roman" w:hAnsi="Times New Roman" w:eastAsia="Times New Roman" w:cs="Times New Roman"/>
          <w:b/>
          <w:color w:val="000000"/>
          <w:sz w:val="24"/>
        </w:rPr>
        <w:t xml:space="preserve">blowdown</w:t>
      </w:r>
      <w:r>
        <w:rPr>
          <w:rFonts w:ascii="Times New Roman" w:hAnsi="Times New Roman" w:eastAsia="Times New Roman" w:cs="Times New Roman"/>
          <w:color w:val="000000"/>
          <w:sz w:val="24"/>
        </w:rPr>
        <w:t xml:space="preserve"> flow for inhibitors and </w:t>
      </w:r>
      <w:r>
        <w:rPr>
          <w:rFonts w:ascii="Times New Roman" w:hAnsi="Times New Roman" w:eastAsia="Times New Roman" w:cs="Times New Roman"/>
          <w:b/>
          <w:color w:val="000000"/>
          <w:sz w:val="24"/>
        </w:rPr>
        <w:t xml:space="preserve">recirculation</w:t>
      </w:r>
      <w:r>
        <w:rPr>
          <w:rFonts w:ascii="Times New Roman" w:hAnsi="Times New Roman" w:eastAsia="Times New Roman" w:cs="Times New Roman"/>
          <w:color w:val="000000"/>
          <w:sz w:val="24"/>
        </w:rPr>
        <w:t xml:space="preserve"> for oxidising biocide, per §1.5.</w:t>
      </w:r>
      <w:r/>
    </w:p>
    <w:p w14:paraId="33D11980">
      <w:pPr>
        <w:pStyle w:val="141"/>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3"/>
        </w:rPr>
        <w:t xml:space="preserve">weather_raw.xlsx</w:t>
      </w:r>
      <w:r>
        <w:rPr>
          <w:rFonts w:ascii="Times New Roman" w:hAnsi="Times New Roman" w:eastAsia="Times New Roman" w:cs="Times New Roman"/>
          <w:b/>
          <w:color w:val="000000"/>
          <w:sz w:val="28"/>
        </w:rPr>
        <w:t xml:space="preserve"> — sheet </w:t>
      </w:r>
      <w:r>
        <w:rPr>
          <w:rFonts w:ascii="Courier New" w:hAnsi="Courier New" w:eastAsia="Courier New" w:cs="Courier New"/>
          <w:b/>
          <w:color w:val="000000"/>
          <w:sz w:val="23"/>
        </w:rPr>
        <w:t xml:space="preserve">nizhnekamsk_20250801_20260816</w:t>
      </w:r>
      <w:r/>
    </w:p>
    <w:p w14:paraId="688283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3045 rows at a </w:t>
      </w:r>
      <w:r>
        <w:rPr>
          <w:rFonts w:ascii="Times New Roman" w:hAnsi="Times New Roman" w:eastAsia="Times New Roman" w:cs="Times New Roman"/>
          <w:b/>
          <w:color w:val="000000"/>
          <w:sz w:val="24"/>
        </w:rPr>
        <w:t xml:space="preserve">3-hour</w:t>
      </w:r>
      <w:r>
        <w:rPr>
          <w:rFonts w:ascii="Times New Roman" w:hAnsi="Times New Roman" w:eastAsia="Times New Roman" w:cs="Times New Roman"/>
          <w:color w:val="000000"/>
          <w:sz w:val="24"/>
        </w:rPr>
        <w:t xml:space="preserve"> step, 2025-08-01 → 2026-08-16. Scraped, and it shows:</w:t>
      </w:r>
      <w:r/>
    </w:p>
    <w:p w14:paraId="22FF35F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rdate</w:t>
      </w:r>
      <w:r>
        <w:rPr>
          <w:rFonts w:ascii="Times New Roman" w:hAnsi="Times New Roman" w:eastAsia="Times New Roman" w:cs="Times New Roman"/>
          <w:color w:val="000000"/>
          <w:sz w:val="24"/>
        </w:rPr>
        <w:t xml:space="preserve"> is </w:t>
      </w:r>
      <w:r>
        <w:rPr>
          <w:rFonts w:ascii="Times New Roman" w:hAnsi="Times New Roman" w:eastAsia="Times New Roman" w:cs="Times New Roman"/>
          <w:b/>
          <w:color w:val="000000"/>
          <w:sz w:val="24"/>
        </w:rPr>
        <w:t xml:space="preserve">text</w:t>
      </w:r>
      <w:r>
        <w:rPr>
          <w:rFonts w:ascii="Times New Roman" w:hAnsi="Times New Roman" w:eastAsia="Times New Roman" w:cs="Times New Roman"/>
          <w:color w:val="000000"/>
          <w:sz w:val="24"/>
        </w:rPr>
        <w:t xml:space="preserve"> in </w:t>
      </w:r>
      <w:r>
        <w:rPr>
          <w:rFonts w:ascii="Courier New" w:hAnsi="Courier New" w:eastAsia="Courier New" w:cs="Courier New"/>
          <w:color w:val="000000"/>
          <w:sz w:val="20"/>
        </w:rPr>
        <w:t xml:space="preserve">DD.MM.YYYY HH:MM</w:t>
      </w:r>
      <w:r>
        <w:rPr>
          <w:rFonts w:ascii="Times New Roman" w:hAnsi="Times New Roman" w:eastAsia="Times New Roman" w:cs="Times New Roman"/>
          <w:color w:val="000000"/>
          <w:sz w:val="24"/>
        </w:rPr>
        <w:t xml:space="preserve"> format, sorted </w:t>
      </w:r>
      <w:r>
        <w:rPr>
          <w:rFonts w:ascii="Times New Roman" w:hAnsi="Times New Roman" w:eastAsia="Times New Roman" w:cs="Times New Roman"/>
          <w:b/>
          <w:color w:val="000000"/>
          <w:sz w:val="24"/>
        </w:rPr>
        <w:t xml:space="preserve">descending</w:t>
      </w:r>
      <w:r>
        <w:rPr>
          <w:rFonts w:ascii="Times New Roman" w:hAnsi="Times New Roman" w:eastAsia="Times New Roman" w:cs="Times New Roman"/>
          <w:color w:val="000000"/>
          <w:sz w:val="24"/>
        </w:rPr>
        <w:t xml:space="preserve">. Parse with an explicit format string, or pandas will silently mangle the day/month order.</w:t>
      </w:r>
      <w:r/>
    </w:p>
    <w:p w14:paraId="1FF527A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temp</w:t>
      </w:r>
      <w:r>
        <w:rPr>
          <w:rFonts w:ascii="Times New Roman" w:hAnsi="Times New Roman" w:eastAsia="Times New Roman" w:cs="Times New Roman"/>
          <w:color w:val="000000"/>
          <w:sz w:val="24"/>
        </w:rPr>
        <w:t xml:space="preserve"> — air temperature, °C (range −29.6 to +34.8; this is a continental climate, which is why seasonality dominates almost everything)</w:t>
      </w:r>
      <w:r/>
    </w:p>
    <w:p w14:paraId="3B91200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w:t>
      </w:r>
      <w:r>
        <w:rPr>
          <w:rFonts w:ascii="Times New Roman" w:hAnsi="Times New Roman" w:eastAsia="Times New Roman" w:cs="Times New Roman"/>
          <w:color w:val="000000"/>
          <w:sz w:val="24"/>
        </w:rPr>
        <w:t xml:space="preserve"> — barometric pressure in mmHg; </w:t>
      </w:r>
      <w:r>
        <w:rPr>
          <w:rFonts w:ascii="Courier New" w:hAnsi="Courier New" w:eastAsia="Courier New" w:cs="Courier New"/>
          <w:color w:val="000000"/>
          <w:sz w:val="20"/>
        </w:rPr>
        <w:t xml:space="preserve">U</w:t>
      </w:r>
      <w:r>
        <w:rPr>
          <w:rFonts w:ascii="Times New Roman" w:hAnsi="Times New Roman" w:eastAsia="Times New Roman" w:cs="Times New Roman"/>
          <w:color w:val="000000"/>
          <w:sz w:val="24"/>
        </w:rPr>
        <w:t xml:space="preserve"> — relative humidity in %</w:t>
      </w:r>
      <w:r/>
    </w:p>
    <w:p w14:paraId="091E0F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press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humidity</w:t>
      </w:r>
      <w:r>
        <w:rPr>
          <w:rFonts w:ascii="Times New Roman" w:hAnsi="Times New Roman" w:eastAsia="Times New Roman" w:cs="Times New Roman"/>
          <w:color w:val="000000"/>
          <w:sz w:val="24"/>
        </w:rPr>
        <w:t xml:space="preserve"> — the same two values converted to Pa and fraction, and they are stored as </w:t>
      </w:r>
      <w:r>
        <w:rPr>
          <w:rFonts w:ascii="Times New Roman" w:hAnsi="Times New Roman" w:eastAsia="Times New Roman" w:cs="Times New Roman"/>
          <w:b/>
          <w:color w:val="000000"/>
          <w:sz w:val="24"/>
        </w:rPr>
        <w:t xml:space="preserve">Excel formulas</w:t>
      </w:r>
      <w:r>
        <w:rPr>
          <w:rFonts w:ascii="Times New Roman" w:hAnsi="Times New Roman" w:eastAsia="Times New Roman" w:cs="Times New Roman"/>
          <w:color w:val="000000"/>
          <w:sz w:val="24"/>
        </w:rPr>
        <w:t xml:space="preserve">. Read with </w:t>
      </w:r>
      <w:r>
        <w:rPr>
          <w:rFonts w:ascii="Courier New" w:hAnsi="Courier New" w:eastAsia="Courier New" w:cs="Courier New"/>
          <w:color w:val="000000"/>
          <w:sz w:val="20"/>
        </w:rPr>
        <w:t xml:space="preserve">data_only=True</w:t>
      </w:r>
      <w:r>
        <w:rPr>
          <w:rFonts w:ascii="Times New Roman" w:hAnsi="Times New Roman" w:eastAsia="Times New Roman" w:cs="Times New Roman"/>
          <w:color w:val="000000"/>
          <w:sz w:val="24"/>
        </w:rPr>
        <w:t xml:space="preserve"> to get the cached numbers, or just recompute from </w:t>
      </w:r>
      <w:r>
        <w:rPr>
          <w:rFonts w:ascii="Courier New" w:hAnsi="Courier New" w:eastAsia="Courier New" w:cs="Courier New"/>
          <w:color w:val="000000"/>
          <w:sz w:val="20"/>
        </w:rPr>
        <w:t xml:space="preserve">P</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U</w:t>
      </w:r>
      <w:r>
        <w:rPr>
          <w:rFonts w:ascii="Times New Roman" w:hAnsi="Times New Roman" w:eastAsia="Times New Roman" w:cs="Times New Roman"/>
          <w:color w:val="000000"/>
          <w:sz w:val="24"/>
        </w:rPr>
        <w:t xml:space="preserve">.</w:t>
      </w:r>
      <w:r/>
    </w:p>
    <w:p w14:paraId="162F85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the inputs for wet-bulb temperature, and therefore for tower approach and effectiveness.</w:t>
      </w:r>
      <w:r/>
    </w:p>
    <w:p w14:paraId="0AF6372B">
      <w:pPr>
        <w:pStyle w:val="141"/>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3"/>
        </w:rPr>
        <w:t xml:space="preserve">main.ipynb</w:t>
      </w:r>
      <w:r>
        <w:rPr>
          <w:rFonts w:ascii="Times New Roman" w:hAnsi="Times New Roman" w:eastAsia="Times New Roman" w:cs="Times New Roman"/>
          <w:b/>
          <w:color w:val="000000"/>
          <w:sz w:val="28"/>
        </w:rPr>
        <w:t xml:space="preserve">, </w:t>
      </w:r>
      <w:r>
        <w:rPr>
          <w:rFonts w:ascii="Courier New" w:hAnsi="Courier New" w:eastAsia="Courier New" w:cs="Courier New"/>
          <w:b/>
          <w:color w:val="000000"/>
          <w:sz w:val="23"/>
        </w:rPr>
        <w:t xml:space="preserve">pixi.toml</w:t>
      </w:r>
      <w:r>
        <w:rPr>
          <w:rFonts w:ascii="Times New Roman" w:hAnsi="Times New Roman" w:eastAsia="Times New Roman" w:cs="Times New Roman"/>
          <w:b/>
          <w:color w:val="000000"/>
          <w:sz w:val="28"/>
        </w:rPr>
        <w:t xml:space="preserve">, </w:t>
      </w:r>
      <w:r>
        <w:rPr>
          <w:rFonts w:ascii="Courier New" w:hAnsi="Courier New" w:eastAsia="Courier New" w:cs="Courier New"/>
          <w:b/>
          <w:color w:val="000000"/>
          <w:sz w:val="23"/>
        </w:rPr>
        <w:t xml:space="preserve">pixi.lock</w:t>
      </w:r>
      <w:r/>
    </w:p>
    <w:p w14:paraId="1680B8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Working notebook and a reproducible environment (pixi, conda-forge, Python 3.14: pandas, scipy, matplotlib, openpyxl, reaktoro, phreeqpython). The notebook contains the current hand-rolled approach: Langelier and phosphate saturation index functions, an em</w:t>
      </w:r>
      <w:r>
        <w:rPr>
          <w:rFonts w:ascii="Times New Roman" w:hAnsi="Times New Roman" w:eastAsia="Times New Roman" w:cs="Times New Roman"/>
          <w:color w:val="000000"/>
          <w:sz w:val="24"/>
        </w:rPr>
        <w:t xml:space="preserve">pirical </w:t>
      </w:r>
      <w:r>
        <w:rPr>
          <w:rFonts w:ascii="Courier New" w:hAnsi="Courier New" w:eastAsia="Courier New" w:cs="Courier New"/>
          <w:color w:val="000000"/>
          <w:sz w:val="20"/>
        </w:rPr>
        <w:t xml:space="preserve">pH = a + b·log10(alkalinity)</w:t>
      </w:r>
      <w:r>
        <w:rPr>
          <w:rFonts w:ascii="Times New Roman" w:hAnsi="Times New Roman" w:eastAsia="Times New Roman" w:cs="Times New Roman"/>
          <w:color w:val="000000"/>
          <w:sz w:val="24"/>
        </w:rPr>
        <w:t xml:space="preserve"> fit, cycles computed both from calcium ratio and from a TDS/calcium correction, and a comparison of empirically measured CCPP against Reaktoro/PHREEQC predictions. It is a starting point, not a finished pipeline.</w:t>
      </w:r>
      <w:r/>
    </w:p>
    <w:p w14:paraId="7CCF28C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2.3 Data quality issues — read before modelling</w:t>
      </w:r>
      <w:r/>
    </w:p>
    <w:p w14:paraId="589E9E6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Different time supports.</w:t>
      </w:r>
      <w:r>
        <w:rPr>
          <w:rFonts w:ascii="Times New Roman" w:hAnsi="Times New Roman" w:eastAsia="Times New Roman" w:cs="Times New Roman"/>
          <w:color w:val="000000"/>
          <w:sz w:val="24"/>
        </w:rPr>
        <w:t xml:space="preserve"> Operations are daily, chemistry irregular (2–3× per week), weather 3-hourly, corrosion monthly. Everything must be resampled to a common grid; weekly is usually the practical compromise, and monthly is forced whenever corrosion is the target.</w:t>
      </w:r>
      <w:r/>
    </w:p>
    <w:p w14:paraId="7FE0439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Different date ranges.</w:t>
      </w:r>
      <w:r>
        <w:rPr>
          <w:rFonts w:ascii="Times New Roman" w:hAnsi="Times New Roman" w:eastAsia="Times New Roman" w:cs="Times New Roman"/>
          <w:color w:val="000000"/>
          <w:sz w:val="24"/>
        </w:rPr>
        <w:t xml:space="preserve"> Loop chemistry goes back to 2021; operational and weather data start mid-2025; dosage exists only for three months of 2026. The fully-joined window is therefore </w:t>
      </w:r>
      <w:r>
        <w:rPr>
          <w:rFonts w:ascii="Times New Roman" w:hAnsi="Times New Roman" w:eastAsia="Times New Roman" w:cs="Times New Roman"/>
          <w:b/>
          <w:color w:val="000000"/>
          <w:sz w:val="24"/>
        </w:rPr>
        <w:t xml:space="preserve">narrow</w:t>
      </w:r>
      <w:r>
        <w:rPr>
          <w:rFonts w:ascii="Times New Roman" w:hAnsi="Times New Roman" w:eastAsia="Times New Roman" w:cs="Times New Roman"/>
          <w:color w:val="000000"/>
          <w:sz w:val="24"/>
        </w:rPr>
        <w:t xml:space="preserve">. Design around this: either accept ~3 months of complete records, or model in stages with different feature sets per stage.</w:t>
      </w:r>
      <w:r/>
    </w:p>
    <w:p w14:paraId="04B8202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Derived columns already present.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lsi</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cycles_tds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cycles_ca</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retention_ca</w:t>
      </w:r>
      <w:r>
        <w:rPr>
          <w:rFonts w:ascii="Times New Roman" w:hAnsi="Times New Roman" w:eastAsia="Times New Roman" w:cs="Times New Roman"/>
          <w:color w:val="000000"/>
          <w:sz w:val="24"/>
        </w:rPr>
        <w:t xml:space="preserve"> in </w:t>
      </w:r>
      <w:r>
        <w:rPr>
          <w:rFonts w:ascii="Courier New" w:hAnsi="Courier New" w:eastAsia="Courier New" w:cs="Courier New"/>
          <w:color w:val="000000"/>
          <w:sz w:val="20"/>
        </w:rPr>
        <w:t xml:space="preserve">rr_analysis</w:t>
      </w:r>
      <w:r>
        <w:rPr>
          <w:rFonts w:ascii="Times New Roman" w:hAnsi="Times New Roman" w:eastAsia="Times New Roman" w:cs="Times New Roman"/>
          <w:color w:val="000000"/>
          <w:sz w:val="24"/>
        </w:rPr>
        <w:t xml:space="preserve"> are computed from other columns in the same row. Using them as features to predict their own inputs will leak. Worse, some were computed with earlier and slightly different formulas, so they are not perfectly consistent with a fresh recomputation. Recompu</w:t>
      </w:r>
      <w:r>
        <w:rPr>
          <w:rFonts w:ascii="Times New Roman" w:hAnsi="Times New Roman" w:eastAsia="Times New Roman" w:cs="Times New Roman"/>
          <w:color w:val="000000"/>
          <w:sz w:val="24"/>
        </w:rPr>
        <w:t xml:space="preserve">te from raw.</w:t>
      </w:r>
      <w:r/>
    </w:p>
    <w:p w14:paraId="255CBAB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Sensor artefacts in </w:t>
      </w:r>
      <w:r>
        <w:rPr>
          <w:rFonts w:ascii="Courier New" w:hAnsi="Courier New" w:eastAsia="Courier New" w:cs="Courier New"/>
          <w:b/>
          <w:color w:val="000000"/>
          <w:sz w:val="20"/>
        </w:rPr>
        <w:t xml:space="preserve">tech_b2s2</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mu</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bd_c</w:t>
      </w:r>
      <w:r>
        <w:rPr>
          <w:rFonts w:ascii="Times New Roman" w:hAnsi="Times New Roman" w:eastAsia="Times New Roman" w:cs="Times New Roman"/>
          <w:color w:val="000000"/>
          <w:sz w:val="24"/>
        </w:rPr>
        <w:t xml:space="preserve"> both contain zeros and near-zeros (</w:t>
      </w:r>
      <w:r>
        <w:rPr>
          <w:rFonts w:ascii="Courier New" w:hAnsi="Courier New" w:eastAsia="Courier New" w:cs="Courier New"/>
          <w:color w:val="000000"/>
          <w:sz w:val="20"/>
        </w:rPr>
        <w:t xml:space="preserve">bd_c</w:t>
      </w:r>
      <w:r>
        <w:rPr>
          <w:rFonts w:ascii="Times New Roman" w:hAnsi="Times New Roman" w:eastAsia="Times New Roman" w:cs="Times New Roman"/>
          <w:color w:val="000000"/>
          <w:sz w:val="24"/>
        </w:rPr>
        <w:t xml:space="preserve"> even goes slightly negative), with maxima of 117 and 83 m³/h against medians of 22 and 4.9. These are outages and flushes, not physics. Cycles computed naively as </w:t>
      </w:r>
      <w:r>
        <w:rPr>
          <w:rFonts w:ascii="Courier New" w:hAnsi="Courier New" w:eastAsia="Courier New" w:cs="Courier New"/>
          <w:color w:val="000000"/>
          <w:sz w:val="20"/>
        </w:rPr>
        <w:t xml:space="preserve">mu / bd_c</w:t>
      </w:r>
      <w:r>
        <w:rPr>
          <w:rFonts w:ascii="Times New Roman" w:hAnsi="Times New Roman" w:eastAsia="Times New Roman" w:cs="Times New Roman"/>
          <w:color w:val="000000"/>
          <w:sz w:val="24"/>
        </w:rPr>
        <w:t xml:space="preserve"> explodes. Filter, or better, derive blowdown from the evaporation balance.</w:t>
      </w:r>
      <w:r/>
    </w:p>
    <w:p w14:paraId="38BA8A3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tds</w:t>
      </w:r>
      <w:r>
        <w:rPr>
          <w:rFonts w:ascii="Times New Roman" w:hAnsi="Times New Roman" w:eastAsia="Times New Roman" w:cs="Times New Roman"/>
          <w:b/>
          <w:color w:val="000000"/>
          <w:sz w:val="24"/>
        </w:rPr>
        <w:t xml:space="preserve"> is not measured</w:t>
      </w:r>
      <w:r>
        <w:rPr>
          <w:rFonts w:ascii="Times New Roman" w:hAnsi="Times New Roman" w:eastAsia="Times New Roman" w:cs="Times New Roman"/>
          <w:color w:val="000000"/>
          <w:sz w:val="24"/>
        </w:rPr>
        <w:t xml:space="preserve">, it is </w:t>
      </w:r>
      <w:r>
        <w:rPr>
          <w:rFonts w:ascii="Courier New" w:hAnsi="Courier New" w:eastAsia="Courier New" w:cs="Courier New"/>
          <w:color w:val="000000"/>
          <w:sz w:val="20"/>
        </w:rPr>
        <w:t xml:space="preserve">ec × k</w:t>
      </w:r>
      <w:r>
        <w:rPr>
          <w:rFonts w:ascii="Times New Roman" w:hAnsi="Times New Roman" w:eastAsia="Times New Roman" w:cs="Times New Roman"/>
          <w:color w:val="000000"/>
          <w:sz w:val="24"/>
        </w:rPr>
        <w:t xml:space="preserve">. It carries no information beyond conductivity; do not treat the two as independent features.</w:t>
      </w:r>
      <w:r/>
    </w:p>
    <w:p w14:paraId="0D389F2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Alkalinity units.</w:t>
      </w:r>
      <w:r>
        <w:rPr>
          <w:rFonts w:ascii="Times New Roman" w:hAnsi="Times New Roman" w:eastAsia="Times New Roman" w:cs="Times New Roman"/>
          <w:color w:val="000000"/>
          <w:sz w:val="24"/>
        </w:rPr>
        <w:t xml:space="preserve"> meq/L in the chemistry tables, ppm as CaCO₃ in every formula in Part 1. Factor of 50.</w:t>
      </w:r>
      <w:r/>
    </w:p>
    <w:p w14:paraId="112D494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Manual laboratory data.</w:t>
      </w:r>
      <w:r>
        <w:rPr>
          <w:rFonts w:ascii="Times New Roman" w:hAnsi="Times New Roman" w:eastAsia="Times New Roman" w:cs="Times New Roman"/>
          <w:color w:val="000000"/>
          <w:sz w:val="24"/>
        </w:rPr>
        <w:t xml:space="preserve"> Expect operator effects, transcription errors and rounding. </w:t>
      </w:r>
      <w:r>
        <w:rPr>
          <w:rFonts w:ascii="Courier New" w:hAnsi="Courier New" w:eastAsia="Courier New" w:cs="Courier New"/>
          <w:color w:val="000000"/>
          <w:sz w:val="20"/>
        </w:rPr>
        <w:t xml:space="preserve">operator_name</w:t>
      </w:r>
      <w:r>
        <w:rPr>
          <w:rFonts w:ascii="Times New Roman" w:hAnsi="Times New Roman" w:eastAsia="Times New Roman" w:cs="Times New Roman"/>
          <w:color w:val="000000"/>
          <w:sz w:val="24"/>
        </w:rPr>
        <w:t xml:space="preserve"> in </w:t>
      </w:r>
      <w:r>
        <w:rPr>
          <w:rFonts w:ascii="Courier New" w:hAnsi="Courier New" w:eastAsia="Courier New" w:cs="Courier New"/>
          <w:color w:val="000000"/>
          <w:sz w:val="20"/>
        </w:rPr>
        <w:t xml:space="preserve">mu_water.xlsx</w:t>
      </w:r>
      <w:r>
        <w:rPr>
          <w:rFonts w:ascii="Times New Roman" w:hAnsi="Times New Roman" w:eastAsia="Times New Roman" w:cs="Times New Roman"/>
          <w:color w:val="000000"/>
          <w:sz w:val="24"/>
        </w:rPr>
        <w:t xml:space="preserve"> lets you test for it.</w:t>
      </w:r>
      <w:r/>
    </w:p>
    <w:p w14:paraId="06204F3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Part 3. What is worth predicting</w:t>
      </w:r>
      <w:r/>
    </w:p>
    <w:p w14:paraId="2F3123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Roughly in order of business value against data availability.</w:t>
      </w:r>
      <w:r/>
    </w:p>
    <w:p w14:paraId="69EA148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Corrosion rate.</w:t>
      </w:r>
      <w:r>
        <w:rPr>
          <w:rFonts w:ascii="Times New Roman" w:hAnsi="Times New Roman" w:eastAsia="Times New Roman" w:cs="Times New Roman"/>
          <w:color w:val="000000"/>
          <w:sz w:val="24"/>
        </w:rPr>
        <w:t xml:space="preserve"> The direct target — </w:t>
      </w:r>
      <w:r>
        <w:rPr>
          <w:rFonts w:ascii="Courier New" w:hAnsi="Courier New" w:eastAsia="Courier New" w:cs="Courier New"/>
          <w:color w:val="000000"/>
          <w:sz w:val="20"/>
        </w:rPr>
        <w:t xml:space="preserve">corrosion.xlsx</w:t>
      </w:r>
      <w:r>
        <w:rPr>
          <w:rFonts w:ascii="Times New Roman" w:hAnsi="Times New Roman" w:eastAsia="Times New Roman" w:cs="Times New Roman"/>
          <w:color w:val="000000"/>
          <w:sz w:val="24"/>
        </w:rPr>
        <w:t xml:space="preserve">. Hard mode: 66 monthly points, so a general-purpose model will overfit instantly. This is a place for a physically-structured model with few parameters (corrosivity ratio, inhibitor residual, temperature, iron, TVC) rather than a flexible learner.</w:t>
      </w:r>
      <w:r/>
    </w:p>
    <w:p w14:paraId="15EA62D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Heat exchanger fouling.</w:t>
      </w:r>
      <w:r>
        <w:rPr>
          <w:rFonts w:ascii="Times New Roman" w:hAnsi="Times New Roman" w:eastAsia="Times New Roman" w:cs="Times New Roman"/>
          <w:color w:val="000000"/>
          <w:sz w:val="24"/>
        </w:rPr>
        <w:t xml:space="preserve"> Track </w:t>
      </w:r>
      <w:r>
        <w:rPr>
          <w:rFonts w:ascii="Courier New" w:hAnsi="Courier New" w:eastAsia="Courier New" w:cs="Courier New"/>
          <w:color w:val="000000"/>
          <w:sz w:val="20"/>
        </w:rPr>
        <w:t xml:space="preserve">U·A</w:t>
      </w:r>
      <w:r>
        <w:rPr>
          <w:rFonts w:ascii="Times New Roman" w:hAnsi="Times New Roman" w:eastAsia="Times New Roman" w:cs="Times New Roman"/>
          <w:color w:val="000000"/>
          <w:sz w:val="24"/>
        </w:rPr>
        <w:t xml:space="preserve"> over time per §1.3 and forecast the decline to schedule cleaning. Needs exchanger-side temperatures, which are not yet in this dataset - worth discussing whether they can be exported.</w:t>
      </w:r>
      <w:r/>
    </w:p>
    <w:p w14:paraId="689C804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Scaling / calcium retention.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retention_ca &lt; 1</w:t>
      </w:r>
      <w:r>
        <w:rPr>
          <w:rFonts w:ascii="Times New Roman" w:hAnsi="Times New Roman" w:eastAsia="Times New Roman" w:cs="Times New Roman"/>
          <w:color w:val="000000"/>
          <w:sz w:val="24"/>
        </w:rPr>
        <w:t xml:space="preserve"> quantifies calcium disappearing into scale. Relating it to saturation index, temperature and inhibitor residual would let us recover the </w:t>
      </w:r>
      <w:r>
        <w:rPr>
          <w:rFonts w:ascii="Times New Roman" w:hAnsi="Times New Roman" w:eastAsia="Times New Roman" w:cs="Times New Roman"/>
          <w:i/>
          <w:color w:val="000000"/>
          <w:sz w:val="24"/>
        </w:rPr>
        <w:t xml:space="preserve">inhibitor's tolerable supersaturation ceiling</w:t>
      </w:r>
      <w:r>
        <w:rPr>
          <w:rFonts w:ascii="Times New Roman" w:hAnsi="Times New Roman" w:eastAsia="Times New Roman" w:cs="Times New Roman"/>
          <w:color w:val="000000"/>
          <w:sz w:val="24"/>
        </w:rPr>
        <w:t xml:space="preserve"> empirically, per §1.6. This is the most scientifically interesting question in the set. But here retention can be not very good parameter, it is something like &gt; 1.0 for a long time, but according to information from the plant they have some problems</w:t>
      </w:r>
      <w:r/>
    </w:p>
    <w:p w14:paraId="4165857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Inhibitor residual as a soft sensor.</w:t>
      </w:r>
      <w:r>
        <w:rPr>
          <w:rFonts w:ascii="Times New Roman" w:hAnsi="Times New Roman" w:eastAsia="Times New Roman" w:cs="Times New Roman"/>
          <w:color w:val="000000"/>
          <w:sz w:val="24"/>
        </w:rPr>
        <w:t xml:space="preserve"> Predict </w:t>
      </w:r>
      <w:r>
        <w:rPr>
          <w:rFonts w:ascii="Courier New" w:hAnsi="Courier New" w:eastAsia="Courier New" w:cs="Courier New"/>
          <w:color w:val="000000"/>
          <w:sz w:val="20"/>
        </w:rPr>
        <w:t xml:space="preserve">po4_org</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po4_orto</w:t>
      </w:r>
      <w:r>
        <w:rPr>
          <w:rFonts w:ascii="Times New Roman" w:hAnsi="Times New Roman" w:eastAsia="Times New Roman" w:cs="Times New Roman"/>
          <w:color w:val="000000"/>
          <w:sz w:val="24"/>
        </w:rPr>
        <w:t xml:space="preserve"> from the dosage files plus blowdown, and flag the residual between prediction and lab result. Deviations mean pump failures, inhibitor consumption by deposition, or degradation. Limited to the 3-month dosage window for now.</w:t>
      </w:r>
      <w:r/>
    </w:p>
    <w:p w14:paraId="020CB25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Cooling tower performance.</w:t>
      </w:r>
      <w:r>
        <w:rPr>
          <w:rFonts w:ascii="Times New Roman" w:hAnsi="Times New Roman" w:eastAsia="Times New Roman" w:cs="Times New Roman"/>
          <w:color w:val="000000"/>
          <w:sz w:val="24"/>
        </w:rPr>
        <w:t xml:space="preserve"> Approach and effectiveness from weather. Degradation shows up as a rising approach at constant wet bulb — this separates a fouled tower from a low process load, resolving the </w:t>
      </w:r>
      <w:r>
        <w:rPr>
          <w:rFonts w:ascii="Courier New" w:hAnsi="Courier New" w:eastAsia="Courier New" w:cs="Courier New"/>
          <w:color w:val="000000"/>
          <w:sz w:val="20"/>
        </w:rPr>
        <w:t xml:space="preserve">ΔT</w:t>
      </w:r>
      <w:r>
        <w:rPr>
          <w:rFonts w:ascii="Times New Roman" w:hAnsi="Times New Roman" w:eastAsia="Times New Roman" w:cs="Times New Roman"/>
          <w:color w:val="000000"/>
          <w:sz w:val="24"/>
        </w:rPr>
        <w:t xml:space="preserve"> ambiguity of §1.2.</w:t>
      </w:r>
      <w:r/>
    </w:p>
    <w:p w14:paraId="343594E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Water balance validation.</w:t>
      </w:r>
      <w:r>
        <w:rPr>
          <w:rFonts w:ascii="Times New Roman" w:hAnsi="Times New Roman" w:eastAsia="Times New Roman" w:cs="Times New Roman"/>
          <w:color w:val="000000"/>
          <w:sz w:val="24"/>
        </w:rPr>
        <w:t xml:space="preserve"> Continuously reconcile </w:t>
      </w:r>
      <w:r>
        <w:rPr>
          <w:rFonts w:ascii="Courier New" w:hAnsi="Courier New" w:eastAsia="Courier New" w:cs="Courier New"/>
          <w:color w:val="000000"/>
          <w:sz w:val="20"/>
        </w:rPr>
        <w:t xml:space="preserve">MU = E + BD</w:t>
      </w:r>
      <w:r>
        <w:rPr>
          <w:rFonts w:ascii="Times New Roman" w:hAnsi="Times New Roman" w:eastAsia="Times New Roman" w:cs="Times New Roman"/>
          <w:color w:val="000000"/>
          <w:sz w:val="24"/>
        </w:rPr>
        <w:t xml:space="preserve"> and flag growing discrepancy as unmetered loss (leaks, drift). Cheap to build, immediately useful, and it doubles as a data quality monitor for everything above.</w:t>
      </w:r>
      <w:r/>
    </w:p>
    <w:p w14:paraId="4B1A8C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Physical constraints worth building into the models rather than learning from scratch: the mass balance, the salt balance, the evaporation correlation, and the monotonicity of saturation indices in temperature and concentration. The dataset is too small to</w:t>
      </w:r>
      <w:r>
        <w:rPr>
          <w:rFonts w:ascii="Times New Roman" w:hAnsi="Times New Roman" w:eastAsia="Times New Roman" w:cs="Times New Roman"/>
          <w:color w:val="000000"/>
          <w:sz w:val="24"/>
        </w:rPr>
        <w:t xml:space="preserve"> rediscover these, and they hold exactly.</w:t>
      </w:r>
      <w:r/>
      <w:r/>
      <w:r/>
      <w:r>
        <w:rPr>
          <w:rFonts w:ascii="Times New Roman" w:hAnsi="Times New Roman" w:eastAsia="Times New Roman" w:cs="Times New Roman"/>
          <w:sz w:val="24"/>
        </w:rPr>
      </w:r>
    </w:p>
    <w:p w14:paraId="22CB7CE5">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8057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CBEF6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B0B45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B86039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2026-09-14T11:37:12Z</dcterms:modified>
</cp:coreProperties>
</file>