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ial" w:cs="Arial" w:ascii="Arial" w:hAnsi="Arial"/>
          <w:sz w:val="52"/>
          <w:szCs w:val="52"/>
        </w:rPr>
        <w:t>4. Glossário</w:t>
      </w:r>
    </w:p>
    <w:p>
      <w:pPr>
        <w:pStyle w:val="Normal"/>
        <w:rPr/>
      </w:pPr>
      <w:r>
        <w:rPr/>
        <w:br/>
      </w:r>
    </w:p>
    <w:tbl>
      <w:tblPr>
        <w:tblStyle w:val="Table1"/>
        <w:tblW w:w="9435" w:type="dxa"/>
        <w:jc w:val="left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top w:w="0" w:type="dxa"/>
          <w:left w:w="108" w:type="dxa"/>
          <w:bottom w:w="0" w:type="dxa"/>
          <w:right w:w="108" w:type="dxa"/>
        </w:tblCellMar>
        <w:tblLook w:val="06a0"/>
      </w:tblPr>
      <w:tblGrid>
        <w:gridCol w:w="2115"/>
        <w:gridCol w:w="7319"/>
      </w:tblGrid>
      <w:tr>
        <w:trPr/>
        <w:tc>
          <w:tcPr>
            <w:tcW w:w="21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  <w:vAlign w:val="center"/>
          </w:tcPr>
          <w:p>
            <w:pPr>
              <w:pStyle w:val="Normal"/>
              <w:spacing w:before="57" w:after="217"/>
              <w:jc w:val="left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Termo, </w:t>
            </w:r>
          </w:p>
          <w:p>
            <w:pPr>
              <w:pStyle w:val="Normal"/>
              <w:spacing w:before="57" w:after="217"/>
              <w:jc w:val="left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Conceito ou </w:t>
            </w:r>
          </w:p>
          <w:p>
            <w:pPr>
              <w:pStyle w:val="Normal"/>
              <w:spacing w:before="57" w:after="217"/>
              <w:jc w:val="left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Abreviação</w:t>
            </w:r>
          </w:p>
        </w:tc>
        <w:tc>
          <w:tcPr>
            <w:tcW w:w="73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  <w:vAlign w:val="center"/>
          </w:tcPr>
          <w:p>
            <w:pPr>
              <w:pStyle w:val="Normal"/>
              <w:spacing w:before="57" w:after="217"/>
              <w:jc w:val="left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Definição</w:t>
            </w:r>
          </w:p>
        </w:tc>
      </w:tr>
      <w:tr>
        <w:trPr>
          <w:trHeight w:val="465" w:hRule="atLeast"/>
        </w:trPr>
        <w:tc>
          <w:tcPr>
            <w:tcW w:w="21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  <w:vAlign w:val="center"/>
          </w:tcPr>
          <w:p>
            <w:pPr>
              <w:pStyle w:val="Normal"/>
              <w:spacing w:before="114" w:after="274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Venda</w:t>
            </w:r>
          </w:p>
        </w:tc>
        <w:tc>
          <w:tcPr>
            <w:tcW w:w="73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  <w:vAlign w:val="center"/>
          </w:tcPr>
          <w:p>
            <w:pPr>
              <w:pStyle w:val="Normal"/>
              <w:spacing w:before="114" w:after="274"/>
              <w:ind w:left="0" w:hanging="0"/>
              <w:jc w:val="left"/>
              <w:rPr/>
            </w:pPr>
            <w:r>
              <w:rPr>
                <w:rFonts w:eastAsia="Arial" w:cs="Arial" w:ascii="Arial" w:hAnsi="Arial"/>
              </w:rPr>
              <w:t>As vendas são feitas presencialmente, não há vendas online.</w:t>
            </w:r>
          </w:p>
        </w:tc>
      </w:tr>
      <w:tr>
        <w:trPr/>
        <w:tc>
          <w:tcPr>
            <w:tcW w:w="21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  <w:vAlign w:val="center"/>
          </w:tcPr>
          <w:p>
            <w:pPr>
              <w:pStyle w:val="Normal"/>
              <w:spacing w:before="114" w:after="274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Cliente</w:t>
            </w:r>
          </w:p>
        </w:tc>
        <w:tc>
          <w:tcPr>
            <w:tcW w:w="73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  <w:vAlign w:val="center"/>
          </w:tcPr>
          <w:p>
            <w:pPr>
              <w:pStyle w:val="Normal"/>
              <w:spacing w:before="114" w:after="274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Autônomos, trabalhadores de obras do setor de construção cívil ou pessoas que precisem fazer reformas básicas. Estudantes que compram algum produto para lanchar na escola, ou itens de papelaria. E os moradores da região, quando necessitam de algum produto ou item.</w:t>
            </w:r>
          </w:p>
        </w:tc>
      </w:tr>
      <w:tr>
        <w:trPr/>
        <w:tc>
          <w:tcPr>
            <w:tcW w:w="21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  <w:vAlign w:val="center"/>
          </w:tcPr>
          <w:p>
            <w:pPr>
              <w:pStyle w:val="Normal"/>
              <w:spacing w:before="114" w:after="274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u w:val="none"/>
              </w:rPr>
              <w:t>Produtos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73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  <w:vAlign w:val="center"/>
          </w:tcPr>
          <w:p>
            <w:pPr>
              <w:pStyle w:val="Normal"/>
              <w:spacing w:before="114" w:after="274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Materiais de construção como: canos, fiação, conduites, lâmpadas e tinta. Produtos alimentícios, de bomboniere, padaria e bebidas. Materiais escolares e itens de papelaria. Descartáveis e diversos como: pratos, panelas, potes, escorredores, vasos, rodo e vassoura. E também aparelhos eletrônicos para celulares e computadores.</w:t>
            </w:r>
          </w:p>
        </w:tc>
      </w:tr>
      <w:tr>
        <w:trPr/>
        <w:tc>
          <w:tcPr>
            <w:tcW w:w="21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  <w:vAlign w:val="center"/>
          </w:tcPr>
          <w:p>
            <w:pPr>
              <w:pStyle w:val="Normal"/>
              <w:spacing w:before="114" w:after="274"/>
              <w:ind w:left="0" w:hanging="0"/>
              <w:jc w:val="left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  <w:u w:val="none"/>
              </w:rPr>
              <w:t xml:space="preserve">Entrega </w:t>
            </w:r>
          </w:p>
        </w:tc>
        <w:tc>
          <w:tcPr>
            <w:tcW w:w="73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cBorders>
            <w:shd w:fill="auto" w:val="clear"/>
            <w:vAlign w:val="center"/>
          </w:tcPr>
          <w:p>
            <w:pPr>
              <w:pStyle w:val="Normal"/>
              <w:spacing w:before="114" w:after="274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Não fazem entregas ou pedidos por telefone, é necessário o cliente ir até a loja e efetuar a compra.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x7hp93iX+nt6wkpZcOKrAMMbYg==">AMUW2mV18l1jHEax/6i1x9VwrSNhRhObpa1FWOPUHArSaBpzu+tirJ6Fy0vxicbZ8gYWifP+l66EvZB2uW5Kkvj7f/9aF1wpKehcjyvtbrOoGE2gq9wKy1U=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123</Words>
  <Characters>714</Characters>
  <CharactersWithSpaces>829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2020-04-06T22:38:18Z</dcterms:created>
  <dc:creator>Bianca Gomes</dc:creator>
  <dc:description/>
  <dc:language>en-US</dc:language>
  <cp:lastModifiedBy/>
  <dcterms:modified xsi:type="dcterms:W3CDTF">2020-08-31T18:47:36Z</dcterms:modified>
  <cp:revision>2</cp:revision>
  <dc:subject/>
  <dc:title/>
</cp:coreProperties>
</file>