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4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/>
      </w:tblPr>
      <w:tblGrid>
        <w:gridCol w:w="4027"/>
        <w:gridCol w:w="2821"/>
        <w:gridCol w:w="2892"/>
      </w:tblGrid>
      <w:tr w:rsidR="00235E02" w:rsidTr="001904C1">
        <w:trPr>
          <w:trHeight w:val="1550"/>
        </w:trPr>
        <w:tc>
          <w:tcPr>
            <w:tcW w:w="3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rPr>
                <w:rFonts w:ascii="Arial Black" w:hAnsi="Arial Black" w:cs="Arial Black"/>
                <w:sz w:val="36"/>
                <w:szCs w:val="36"/>
                <w:u w:val="single"/>
              </w:rPr>
            </w:pPr>
            <w:r w:rsidRPr="007F6304">
              <w:rPr>
                <w:rFonts w:ascii="Arial Black" w:hAnsi="Arial Black" w:cs="Arial Black"/>
                <w:sz w:val="36"/>
                <w:szCs w:val="36"/>
                <w:u w:val="single"/>
              </w:rPr>
              <w:t>CARACTERISTICAS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jc w:val="center"/>
              <w:rPr>
                <w:rFonts w:ascii="Arial Black" w:hAnsi="Arial Black" w:cs="Arial Black"/>
                <w:sz w:val="36"/>
                <w:szCs w:val="36"/>
                <w:u w:val="single"/>
              </w:rPr>
            </w:pPr>
            <w:r w:rsidRPr="007F6304">
              <w:rPr>
                <w:rFonts w:ascii="Arial Black" w:hAnsi="Arial Black" w:cs="Arial Black"/>
                <w:sz w:val="36"/>
                <w:szCs w:val="36"/>
                <w:u w:val="single"/>
              </w:rPr>
              <w:t>SOLUCION</w:t>
            </w:r>
          </w:p>
          <w:p w:rsidR="00235E02" w:rsidRPr="007F6304" w:rsidRDefault="00235E02" w:rsidP="001904C1">
            <w:pPr>
              <w:spacing w:after="0" w:line="240" w:lineRule="auto"/>
              <w:jc w:val="center"/>
              <w:rPr>
                <w:rFonts w:ascii="Arial Black" w:hAnsi="Arial Black" w:cs="Arial Black"/>
                <w:sz w:val="36"/>
                <w:szCs w:val="36"/>
                <w:u w:val="single"/>
              </w:rPr>
            </w:pPr>
            <w:r w:rsidRPr="007F6304">
              <w:rPr>
                <w:rFonts w:ascii="Arial Black" w:hAnsi="Arial Black" w:cs="Arial Black"/>
                <w:sz w:val="36"/>
                <w:szCs w:val="36"/>
                <w:u w:val="single"/>
              </w:rPr>
              <w:t>CON</w:t>
            </w:r>
          </w:p>
          <w:p w:rsidR="00235E02" w:rsidRPr="007F6304" w:rsidRDefault="00235E02" w:rsidP="001904C1">
            <w:pPr>
              <w:spacing w:after="0" w:line="240" w:lineRule="auto"/>
              <w:jc w:val="center"/>
              <w:rPr>
                <w:rFonts w:ascii="Arial Black" w:hAnsi="Arial Black" w:cs="Arial Black"/>
                <w:sz w:val="36"/>
                <w:szCs w:val="36"/>
                <w:u w:val="single"/>
              </w:rPr>
            </w:pPr>
            <w:r w:rsidRPr="007F6304">
              <w:rPr>
                <w:rFonts w:ascii="Arial Black" w:hAnsi="Arial Black" w:cs="Arial Black"/>
                <w:sz w:val="36"/>
                <w:szCs w:val="36"/>
                <w:u w:val="single"/>
              </w:rPr>
              <w:t>OBSERVER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jc w:val="center"/>
              <w:rPr>
                <w:rFonts w:ascii="Arial Black" w:hAnsi="Arial Black" w:cs="Arial Black"/>
                <w:sz w:val="36"/>
                <w:szCs w:val="36"/>
                <w:u w:val="single"/>
              </w:rPr>
            </w:pPr>
            <w:r w:rsidRPr="007F6304">
              <w:rPr>
                <w:rFonts w:ascii="Arial Black" w:hAnsi="Arial Black" w:cs="Arial Black"/>
                <w:sz w:val="36"/>
                <w:szCs w:val="36"/>
                <w:u w:val="single"/>
              </w:rPr>
              <w:t>SOLUCION</w:t>
            </w:r>
          </w:p>
          <w:p w:rsidR="00235E02" w:rsidRPr="007F6304" w:rsidRDefault="00235E02" w:rsidP="001904C1">
            <w:pPr>
              <w:spacing w:after="0" w:line="240" w:lineRule="auto"/>
              <w:jc w:val="center"/>
              <w:rPr>
                <w:rFonts w:ascii="Arial Black" w:hAnsi="Arial Black" w:cs="Arial Black"/>
                <w:sz w:val="36"/>
                <w:szCs w:val="36"/>
                <w:u w:val="single"/>
              </w:rPr>
            </w:pPr>
            <w:r w:rsidRPr="007F6304">
              <w:rPr>
                <w:rFonts w:ascii="Arial Black" w:hAnsi="Arial Black" w:cs="Arial Black"/>
                <w:sz w:val="36"/>
                <w:szCs w:val="36"/>
                <w:u w:val="single"/>
              </w:rPr>
              <w:t>SIN OBSERVER</w:t>
            </w:r>
          </w:p>
        </w:tc>
      </w:tr>
      <w:tr w:rsidR="00235E02" w:rsidTr="001904C1">
        <w:trPr>
          <w:trHeight w:val="2015"/>
        </w:trPr>
        <w:tc>
          <w:tcPr>
            <w:tcW w:w="3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rPr>
                <w:rFonts w:ascii="Arial Black" w:hAnsi="Arial Black" w:cs="Arial Black"/>
                <w:sz w:val="28"/>
                <w:szCs w:val="28"/>
                <w:u w:val="single"/>
              </w:rPr>
            </w:pPr>
            <w:r w:rsidRPr="007F6304">
              <w:rPr>
                <w:rFonts w:ascii="Arial Black" w:hAnsi="Arial Black" w:cs="Arial Black"/>
                <w:sz w:val="28"/>
                <w:szCs w:val="28"/>
                <w:u w:val="single"/>
              </w:rPr>
              <w:t>Facilidad para agregar nuevos tipos de monitoreo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Default="00235E02" w:rsidP="001904C1">
            <w:pPr>
              <w:spacing w:after="0" w:line="240" w:lineRule="auto"/>
            </w:pPr>
            <w:r>
              <w:t xml:space="preserve">A nivel diagrama es fácil ya que hay que crear una clase que implemente la interfaz monitor, luego en la implementación se agrega uno por uno en la colección monitores en </w:t>
            </w:r>
            <w:proofErr w:type="spellStart"/>
            <w:r>
              <w:t>repositorioDeRecetas</w:t>
            </w:r>
            <w:proofErr w:type="spellEnd"/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Default="00235E02" w:rsidP="001904C1">
            <w:pPr>
              <w:spacing w:after="0" w:line="240" w:lineRule="auto"/>
            </w:pPr>
            <w:r>
              <w:t xml:space="preserve">A nivel diagrama es igual que </w:t>
            </w:r>
            <w:proofErr w:type="spellStart"/>
            <w:r>
              <w:t>observer</w:t>
            </w:r>
            <w:proofErr w:type="spellEnd"/>
            <w:r>
              <w:t xml:space="preserve">, esta solución no cambia esta parte, ya que es necesario que sean polimórficas entre sí para comprender el mensaje notificar, dentro de </w:t>
            </w:r>
            <w:proofErr w:type="spellStart"/>
            <w:r>
              <w:t>notificarATodos</w:t>
            </w:r>
            <w:proofErr w:type="spellEnd"/>
            <w:r>
              <w:t xml:space="preserve">, en cuanto al código, es </w:t>
            </w:r>
            <w:proofErr w:type="spellStart"/>
            <w:r>
              <w:t>mas</w:t>
            </w:r>
            <w:proofErr w:type="spellEnd"/>
            <w:r>
              <w:t xml:space="preserve"> fácil instanciar una colección auxiliar y </w:t>
            </w:r>
            <w:proofErr w:type="spellStart"/>
            <w:r>
              <w:t>setearle</w:t>
            </w:r>
            <w:proofErr w:type="spellEnd"/>
            <w:r>
              <w:t xml:space="preserve"> todos los monitores que queramos en un solo paso, y luego pasar por parámetro esta colección </w:t>
            </w:r>
          </w:p>
        </w:tc>
      </w:tr>
      <w:tr w:rsidR="00235E02" w:rsidTr="001904C1">
        <w:trPr>
          <w:trHeight w:val="2134"/>
        </w:trPr>
        <w:tc>
          <w:tcPr>
            <w:tcW w:w="3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rPr>
                <w:rFonts w:ascii="Arial Black" w:hAnsi="Arial Black" w:cs="Arial Black"/>
                <w:sz w:val="28"/>
                <w:szCs w:val="28"/>
                <w:u w:val="single"/>
              </w:rPr>
            </w:pPr>
            <w:r w:rsidRPr="007F6304">
              <w:rPr>
                <w:rFonts w:ascii="Arial Black" w:hAnsi="Arial Black" w:cs="Arial Black"/>
                <w:sz w:val="28"/>
                <w:szCs w:val="28"/>
                <w:u w:val="single"/>
              </w:rPr>
              <w:t>Simplicidad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Default="00235E02" w:rsidP="001904C1">
            <w:pPr>
              <w:spacing w:after="0" w:line="240" w:lineRule="auto"/>
            </w:pPr>
            <w:r>
              <w:t xml:space="preserve">Es más simple que la alternativa sin </w:t>
            </w:r>
            <w:proofErr w:type="spellStart"/>
            <w:r>
              <w:t>oberver</w:t>
            </w:r>
            <w:proofErr w:type="spellEnd"/>
            <w:r>
              <w:t xml:space="preserve"> porque tenemos una variable como colección que está dentro de la clase observada, y esto reduce la cantidad de parámetros en la firma de los métodos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Default="00235E02" w:rsidP="001904C1">
            <w:pPr>
              <w:spacing w:after="0" w:line="240" w:lineRule="auto"/>
            </w:pPr>
            <w:r>
              <w:t xml:space="preserve">Es menos simple esta solución ya que se estaría llegando a violar el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small</w:t>
            </w:r>
            <w:proofErr w:type="spellEnd"/>
            <w:r>
              <w:t xml:space="preserve"> de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parameter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  <w:r>
              <w:t>, ya que consideramos que 4 parámetros es mucho para un método que solo se encarga de listar y notificar</w:t>
            </w:r>
          </w:p>
        </w:tc>
      </w:tr>
      <w:tr w:rsidR="00235E02" w:rsidTr="001904C1">
        <w:trPr>
          <w:trHeight w:val="2015"/>
        </w:trPr>
        <w:tc>
          <w:tcPr>
            <w:tcW w:w="3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rPr>
                <w:rFonts w:ascii="Arial Black" w:hAnsi="Arial Black" w:cs="Arial Black"/>
                <w:sz w:val="28"/>
                <w:szCs w:val="28"/>
                <w:u w:val="single"/>
              </w:rPr>
            </w:pPr>
            <w:r w:rsidRPr="007F6304">
              <w:rPr>
                <w:rFonts w:ascii="Arial Black" w:hAnsi="Arial Black" w:cs="Arial Black"/>
                <w:sz w:val="28"/>
                <w:szCs w:val="28"/>
                <w:u w:val="single"/>
              </w:rPr>
              <w:t>Cohesión o cuantos objetivos a la vez resuelve el componente desarrollado</w:t>
            </w:r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860741" w:rsidRDefault="00235E02" w:rsidP="001904C1">
            <w:pPr>
              <w:spacing w:after="0" w:line="240" w:lineRule="auto"/>
            </w:pPr>
            <w:r w:rsidRPr="00860741">
              <w:t>Es cohesiva ya que delega luego de listar</w:t>
            </w:r>
            <w:r>
              <w:t xml:space="preserve"> el método notificar, 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Default="00235E02" w:rsidP="001904C1">
            <w:pPr>
              <w:spacing w:after="0" w:line="240" w:lineRule="auto"/>
            </w:pPr>
            <w:r>
              <w:t>Permanece la cohesión pese a que se recibe un parámetro de mas, pero no se efectúa ninguna acción sobre el mismo, ya que se lo pasa por parámetro al método notificar</w:t>
            </w:r>
          </w:p>
        </w:tc>
      </w:tr>
      <w:tr w:rsidR="00235E02" w:rsidTr="001904C1">
        <w:trPr>
          <w:trHeight w:val="2134"/>
        </w:trPr>
        <w:tc>
          <w:tcPr>
            <w:tcW w:w="36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01391D" w:rsidRDefault="00235E02" w:rsidP="001904C1">
            <w:pPr>
              <w:spacing w:after="0" w:line="240" w:lineRule="auto"/>
              <w:rPr>
                <w:rFonts w:ascii="Arial Black" w:hAnsi="Arial Black" w:cs="Arial Black"/>
                <w:sz w:val="28"/>
                <w:szCs w:val="28"/>
                <w:u w:val="single"/>
              </w:rPr>
            </w:pPr>
            <w:proofErr w:type="spellStart"/>
            <w:r w:rsidRPr="007F6304">
              <w:rPr>
                <w:rFonts w:ascii="Arial Black" w:hAnsi="Arial Black" w:cs="Arial Black"/>
                <w:sz w:val="28"/>
                <w:szCs w:val="28"/>
                <w:u w:val="single"/>
              </w:rPr>
              <w:t>Mantenibilidad</w:t>
            </w:r>
            <w:proofErr w:type="spellEnd"/>
          </w:p>
        </w:tc>
        <w:tc>
          <w:tcPr>
            <w:tcW w:w="30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Pr="007F6304" w:rsidRDefault="00235E02" w:rsidP="001904C1">
            <w:pPr>
              <w:spacing w:after="0" w:line="240" w:lineRule="auto"/>
              <w:rPr>
                <w:u w:val="single"/>
              </w:rPr>
            </w:pPr>
            <w:r>
              <w:t>Es más fácil de mantener ya que hay menos código en la firma de los métodos, y es más fácil testear porque está definido el método agregar monitor</w:t>
            </w:r>
          </w:p>
        </w:tc>
        <w:tc>
          <w:tcPr>
            <w:tcW w:w="31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235E02" w:rsidRDefault="00235E02" w:rsidP="001904C1">
            <w:pPr>
              <w:spacing w:after="0" w:line="240" w:lineRule="auto"/>
            </w:pPr>
            <w:r>
              <w:t xml:space="preserve">es más difícil de mantener ya que hay mas código en la firma de los métodos, y en los </w:t>
            </w:r>
            <w:proofErr w:type="spellStart"/>
            <w:r>
              <w:t>tests</w:t>
            </w:r>
            <w:proofErr w:type="spellEnd"/>
            <w:r>
              <w:t xml:space="preserve"> hace falta crear una lista en la cual agregar todos los monitores</w:t>
            </w:r>
          </w:p>
        </w:tc>
      </w:tr>
    </w:tbl>
    <w:p w:rsidR="00235E02" w:rsidRDefault="00235E02" w:rsidP="00235E02"/>
    <w:p w:rsidR="00FD4A9B" w:rsidRDefault="00FD4A9B"/>
    <w:sectPr w:rsidR="00FD4A9B" w:rsidSect="00D6585C"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235E02"/>
    <w:rsid w:val="00235E02"/>
    <w:rsid w:val="00FD4A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E02"/>
    <w:pPr>
      <w:suppressAutoHyphens/>
      <w:overflowPunct w:val="0"/>
      <w:spacing w:after="160" w:line="254" w:lineRule="auto"/>
    </w:pPr>
    <w:rPr>
      <w:rFonts w:ascii="Calibri" w:eastAsia="Calibri" w:hAnsi="Calibri" w:cs="Times New Roman"/>
      <w:color w:val="00000A"/>
      <w:lang w:val="es-AR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HIPPER</dc:creator>
  <cp:lastModifiedBy>HIPPER</cp:lastModifiedBy>
  <cp:revision>1</cp:revision>
  <dcterms:created xsi:type="dcterms:W3CDTF">2015-06-11T04:59:00Z</dcterms:created>
  <dcterms:modified xsi:type="dcterms:W3CDTF">2015-06-11T04:59:00Z</dcterms:modified>
</cp:coreProperties>
</file>