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代码评审与合并冲突记录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高校实验室仪器预约管理系统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记录人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成员C（项目经理）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首次更新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2026年10月25日（第1周末）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v1.0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文档状态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持续更新（第2~3周执行后填写记录）</w:t>
            </w:r>
          </w:p>
        </w:tc>
      </w:tr>
    </w:tbl>
    <w:p>
      <w:r>
        <w:rPr>
          <w:rFonts w:ascii="黑体" w:hAnsi="黑体" w:eastAsia="黑体"/>
          <w:b/>
          <w:sz w:val="28"/>
        </w:rPr>
        <w:t>1 代码评审规范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（1）分支模型：简化GitFlow——main只保存发布版本；dev为集成分支；个人开发在feature/*分支进行，完成后提交Pull Request合并到dev。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（2）PR要求：标题含WBS编号（如“[3.4] 预约接口”）；描述说明改动内容与自测结果；关联对应Issue；至少1名其他成员评审通过后方可合并。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（3）评审要点清单：</w:t>
      </w:r>
    </w:p>
    <w:p>
      <w:r>
        <w:rPr>
          <w:rFonts w:ascii="Times New Roman" w:hAnsi="Times New Roman" w:eastAsia="宋体"/>
          <w:b w:val="0"/>
          <w:sz w:val="24"/>
        </w:rPr>
        <w:t>a. 命名与分层是否符合规范（entity-mapper-service-controller）；</w:t>
      </w:r>
    </w:p>
    <w:p>
      <w:r>
        <w:rPr>
          <w:rFonts w:ascii="Times New Roman" w:hAnsi="Times New Roman" w:eastAsia="宋体"/>
          <w:b w:val="0"/>
          <w:sz w:val="24"/>
        </w:rPr>
        <w:t>b. 异常处理是否走全局异常处理器，返回统一格式；</w:t>
      </w:r>
    </w:p>
    <w:p>
      <w:r>
        <w:rPr>
          <w:rFonts w:ascii="Times New Roman" w:hAnsi="Times New Roman" w:eastAsia="宋体"/>
          <w:b w:val="0"/>
          <w:sz w:val="24"/>
        </w:rPr>
        <w:t>c. 敏感信息与鉴权（密码不落日志、JWT校验、角色权限）；</w:t>
      </w:r>
    </w:p>
    <w:p>
      <w:r>
        <w:rPr>
          <w:rFonts w:ascii="Times New Roman" w:hAnsi="Times New Roman" w:eastAsia="宋体"/>
          <w:b w:val="0"/>
          <w:sz w:val="24"/>
        </w:rPr>
        <w:t>d. 核心逻辑正确性（预约时间重叠校验、审批状态流转）；</w:t>
      </w:r>
    </w:p>
    <w:p>
      <w:r>
        <w:rPr>
          <w:rFonts w:ascii="Times New Roman" w:hAnsi="Times New Roman" w:eastAsia="宋体"/>
          <w:b w:val="0"/>
          <w:sz w:val="24"/>
        </w:rPr>
        <w:t>e. 重复代码与明显性能问题；</w:t>
      </w:r>
    </w:p>
    <w:p>
      <w:r>
        <w:rPr>
          <w:rFonts w:ascii="Times New Roman" w:hAnsi="Times New Roman" w:eastAsia="宋体"/>
          <w:b w:val="0"/>
          <w:sz w:val="24"/>
        </w:rPr>
        <w:t>f. 是否有对应测试或自测说明。</w:t>
      </w:r>
    </w:p>
    <w:p>
      <w:r>
        <w:rPr>
          <w:rFonts w:ascii="黑体" w:hAnsi="黑体" w:eastAsia="黑体"/>
          <w:b/>
          <w:sz w:val="28"/>
        </w:rPr>
        <w:t>2 代码评审记录表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黑体" w:hAnsi="黑体" w:eastAsia="黑体"/>
                <w:b/>
                <w:sz w:val="24"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rFonts w:ascii="黑体" w:hAnsi="黑体" w:eastAsia="黑体"/>
                <w:b/>
                <w:sz w:val="24"/>
              </w:rPr>
              <w:t>日期</w:t>
            </w:r>
          </w:p>
        </w:tc>
        <w:tc>
          <w:tcPr>
            <w:tcW w:type="dxa" w:w="1234"/>
          </w:tcPr>
          <w:p>
            <w:r>
              <w:rPr>
                <w:rFonts w:ascii="黑体" w:hAnsi="黑体" w:eastAsia="黑体"/>
                <w:b/>
                <w:sz w:val="24"/>
              </w:rPr>
              <w:t>PR/提交</w:t>
            </w:r>
          </w:p>
        </w:tc>
        <w:tc>
          <w:tcPr>
            <w:tcW w:type="dxa" w:w="1234"/>
          </w:tcPr>
          <w:p>
            <w:r>
              <w:rPr>
                <w:rFonts w:ascii="黑体" w:hAnsi="黑体" w:eastAsia="黑体"/>
                <w:b/>
                <w:sz w:val="24"/>
              </w:rPr>
              <w:t>被评审人</w:t>
            </w:r>
          </w:p>
        </w:tc>
        <w:tc>
          <w:tcPr>
            <w:tcW w:type="dxa" w:w="1234"/>
          </w:tcPr>
          <w:p>
            <w:r>
              <w:rPr>
                <w:rFonts w:ascii="黑体" w:hAnsi="黑体" w:eastAsia="黑体"/>
                <w:b/>
                <w:sz w:val="24"/>
              </w:rPr>
              <w:t>评审人</w:t>
            </w:r>
          </w:p>
        </w:tc>
        <w:tc>
          <w:tcPr>
            <w:tcW w:type="dxa" w:w="1234"/>
          </w:tcPr>
          <w:p>
            <w:r>
              <w:rPr>
                <w:rFonts w:ascii="黑体" w:hAnsi="黑体" w:eastAsia="黑体"/>
                <w:b/>
                <w:sz w:val="24"/>
              </w:rPr>
              <w:t>结论</w:t>
            </w:r>
          </w:p>
        </w:tc>
        <w:tc>
          <w:tcPr>
            <w:tcW w:type="dxa" w:w="1234"/>
          </w:tcPr>
          <w:p>
            <w:r>
              <w:rPr>
                <w:rFonts w:ascii="黑体" w:hAnsi="黑体" w:eastAsia="黑体"/>
                <w:b/>
                <w:sz w:val="24"/>
              </w:rPr>
              <w:t>整改情况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R-01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待填（第2周起）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R-02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说明：第1周为启动与规划期（仓库、规范、ER图、文档），尚无feature分支PR，评审记录自第2周并行开发启动后开始填写。</w:t>
      </w:r>
    </w:p>
    <w:p>
      <w:r>
        <w:rPr>
          <w:rFonts w:ascii="黑体" w:hAnsi="黑体" w:eastAsia="黑体"/>
          <w:b/>
          <w:sz w:val="28"/>
        </w:rPr>
        <w:t>3 合并冲突记录表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编号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日期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分支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冲突文件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冲突原因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解决方式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结果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截图/PR链接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C-01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待发生（第2~3周dev合并）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待填</w:t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课程要求：Git仓库作为重要交付物，要求保留至少一次真实合并冲突记录。预计发生在第2~3周多人向dev合并时（如docs、pom.xml、前端路由等公共文件），冲突解决后在此登记并附截图。</w:t>
      </w:r>
    </w:p>
    <w:p>
      <w:r>
        <w:rPr>
          <w:rFonts w:ascii="黑体" w:hAnsi="黑体" w:eastAsia="黑体"/>
          <w:b/>
          <w:sz w:val="28"/>
        </w:rPr>
        <w:t>4 留痕方式</w:t>
      </w:r>
    </w:p>
    <w:p>
      <w:r>
        <w:rPr>
          <w:rFonts w:ascii="Times New Roman" w:hAnsi="Times New Roman" w:eastAsia="宋体"/>
          <w:b w:val="0"/>
          <w:sz w:val="24"/>
        </w:rPr>
        <w:t>（1）提交历史与PR页面截图存档；</w:t>
      </w:r>
    </w:p>
    <w:p>
      <w:r>
        <w:rPr>
          <w:rFonts w:ascii="Times New Roman" w:hAnsi="Times New Roman" w:eastAsia="宋体"/>
          <w:b w:val="0"/>
          <w:sz w:val="24"/>
        </w:rPr>
        <w:t>（2）冲突解决过程（冲突标记→手工解决→重新提交）截图存档；</w:t>
      </w:r>
    </w:p>
    <w:p>
      <w:r>
        <w:rPr>
          <w:rFonts w:ascii="Times New Roman" w:hAnsi="Times New Roman" w:eastAsia="宋体"/>
          <w:b w:val="0"/>
          <w:sz w:val="24"/>
        </w:rPr>
        <w:t>（3）本表随代码纳入版本控制。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