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ED47" w14:textId="77777777" w:rsidR="00AE6737" w:rsidRPr="0055430B" w:rsidRDefault="00AE6737">
      <w:pPr>
        <w:tabs>
          <w:tab w:val="center" w:pos="4680"/>
        </w:tabs>
        <w:jc w:val="both"/>
        <w:rPr>
          <w:rFonts w:ascii="Times New Roman" w:hAnsi="Times New Roman" w:cs="Times New Roman"/>
          <w:b/>
          <w:bCs/>
        </w:rPr>
      </w:pPr>
      <w:r w:rsidRPr="0055430B">
        <w:rPr>
          <w:rFonts w:ascii="Times New Roman" w:hAnsi="Times New Roman" w:cs="Times New Roman"/>
        </w:rPr>
        <w:tab/>
      </w:r>
      <w:r w:rsidRPr="0055430B">
        <w:rPr>
          <w:rFonts w:ascii="Times New Roman" w:hAnsi="Times New Roman" w:cs="Times New Roman"/>
          <w:b/>
          <w:bCs/>
        </w:rPr>
        <w:t>PATENT CASE LITIGATION PLAN</w:t>
      </w:r>
    </w:p>
    <w:p w14:paraId="6E72A637" w14:textId="097E36C6" w:rsidR="00AE6737" w:rsidRPr="0055430B" w:rsidRDefault="00AE6737">
      <w:pPr>
        <w:tabs>
          <w:tab w:val="center" w:pos="4680"/>
        </w:tabs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ab/>
      </w:r>
      <w:r w:rsidRPr="0055430B">
        <w:rPr>
          <w:rFonts w:ascii="Times New Roman" w:hAnsi="Times New Roman" w:cs="Times New Roman"/>
          <w:b/>
          <w:bCs/>
        </w:rPr>
        <w:t xml:space="preserve">(Revised Effective </w:t>
      </w:r>
      <w:r w:rsidR="002F4E4C">
        <w:rPr>
          <w:rFonts w:ascii="Times New Roman" w:hAnsi="Times New Roman" w:cs="Times New Roman"/>
          <w:b/>
          <w:bCs/>
        </w:rPr>
        <w:t>10/27/2023</w:t>
      </w:r>
      <w:r w:rsidRPr="0055430B">
        <w:rPr>
          <w:rFonts w:ascii="Times New Roman" w:hAnsi="Times New Roman" w:cs="Times New Roman"/>
          <w:b/>
          <w:bCs/>
        </w:rPr>
        <w:t>)</w:t>
      </w:r>
    </w:p>
    <w:p w14:paraId="3F5F7BA0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</w:p>
    <w:p w14:paraId="4D16757A" w14:textId="711D6E12" w:rsidR="00AE6737" w:rsidRPr="0055430B" w:rsidRDefault="005543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</w:t>
      </w:r>
      <w:r w:rsidR="00AE6737" w:rsidRPr="0055430B">
        <w:rPr>
          <w:rFonts w:ascii="Times New Roman" w:hAnsi="Times New Roman" w:cs="Times New Roman"/>
        </w:rPr>
        <w:t xml:space="preserve">OF </w:t>
      </w:r>
      <w:r w:rsidR="002F4E4C">
        <w:rPr>
          <w:rFonts w:ascii="Times New Roman" w:hAnsi="Times New Roman" w:cs="Times New Roman"/>
        </w:rPr>
        <w:t>SCHEDULING</w:t>
      </w:r>
      <w:r w:rsidR="00AE6737" w:rsidRPr="0055430B">
        <w:rPr>
          <w:rFonts w:ascii="Times New Roman" w:hAnsi="Times New Roman" w:cs="Times New Roman"/>
        </w:rPr>
        <w:t xml:space="preserve"> CONFERENCE: </w:t>
      </w:r>
      <w:r w:rsidR="00AE6737" w:rsidRPr="0055430B">
        <w:rPr>
          <w:rFonts w:ascii="Times New Roman" w:hAnsi="Times New Roman" w:cs="Times New Roman"/>
          <w:u w:val="single"/>
        </w:rPr>
        <w:t xml:space="preserve">                                           </w:t>
      </w:r>
    </w:p>
    <w:p w14:paraId="71A5A6AE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</w:p>
    <w:p w14:paraId="7AF8477C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>CASE NO:</w:t>
      </w:r>
      <w:r w:rsidRPr="0055430B">
        <w:rPr>
          <w:rFonts w:ascii="Times New Roman" w:hAnsi="Times New Roman" w:cs="Times New Roman"/>
          <w:u w:val="single"/>
        </w:rPr>
        <w:t xml:space="preserve">                              </w:t>
      </w:r>
      <w:r w:rsidRPr="0055430B">
        <w:rPr>
          <w:rFonts w:ascii="Times New Roman" w:hAnsi="Times New Roman" w:cs="Times New Roman"/>
        </w:rPr>
        <w:t xml:space="preserve"> </w:t>
      </w:r>
    </w:p>
    <w:p w14:paraId="21DB5E01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</w:p>
    <w:p w14:paraId="77B20CE0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>CASE NAME:</w:t>
      </w:r>
      <w:r w:rsidRPr="0055430B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</w:t>
      </w:r>
    </w:p>
    <w:p w14:paraId="04A4D647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</w:p>
    <w:p w14:paraId="42BD20A8" w14:textId="77777777" w:rsidR="00AE6737" w:rsidRPr="0055430B" w:rsidRDefault="00AE6737">
      <w:pPr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>PARTY SUBMITTING PLAN:</w:t>
      </w:r>
    </w:p>
    <w:p w14:paraId="6C9AB614" w14:textId="77777777" w:rsidR="00AE6737" w:rsidRPr="0055430B" w:rsidRDefault="00AE6737">
      <w:pPr>
        <w:ind w:firstLine="720"/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[ </w:t>
      </w:r>
      <w:proofErr w:type="gramStart"/>
      <w:r w:rsidRPr="0055430B">
        <w:rPr>
          <w:rFonts w:ascii="Times New Roman" w:hAnsi="Times New Roman" w:cs="Times New Roman"/>
        </w:rPr>
        <w:t xml:space="preserve">  ]</w:t>
      </w:r>
      <w:proofErr w:type="gramEnd"/>
      <w:r w:rsidRPr="0055430B">
        <w:rPr>
          <w:rFonts w:ascii="Times New Roman" w:hAnsi="Times New Roman" w:cs="Times New Roman"/>
        </w:rPr>
        <w:t xml:space="preserve"> Plan </w:t>
      </w:r>
      <w:r w:rsidRPr="0055430B">
        <w:rPr>
          <w:rFonts w:ascii="Times New Roman" w:hAnsi="Times New Roman" w:cs="Times New Roman"/>
          <w:b/>
          <w:bCs/>
        </w:rPr>
        <w:t>has been</w:t>
      </w:r>
      <w:r w:rsidRPr="0055430B">
        <w:rPr>
          <w:rFonts w:ascii="Times New Roman" w:hAnsi="Times New Roman" w:cs="Times New Roman"/>
        </w:rPr>
        <w:t xml:space="preserve"> stipulated to by all parties.</w:t>
      </w:r>
    </w:p>
    <w:p w14:paraId="0648106F" w14:textId="77777777" w:rsidR="00AE6737" w:rsidRPr="0055430B" w:rsidRDefault="00AE6737">
      <w:pPr>
        <w:ind w:firstLine="720"/>
        <w:jc w:val="both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[ </w:t>
      </w:r>
      <w:proofErr w:type="gramStart"/>
      <w:r w:rsidRPr="0055430B">
        <w:rPr>
          <w:rFonts w:ascii="Times New Roman" w:hAnsi="Times New Roman" w:cs="Times New Roman"/>
        </w:rPr>
        <w:t xml:space="preserve">  ]</w:t>
      </w:r>
      <w:proofErr w:type="gramEnd"/>
      <w:r w:rsidRPr="0055430B">
        <w:rPr>
          <w:rFonts w:ascii="Times New Roman" w:hAnsi="Times New Roman" w:cs="Times New Roman"/>
        </w:rPr>
        <w:t xml:space="preserve"> Plan </w:t>
      </w:r>
      <w:r w:rsidRPr="0055430B">
        <w:rPr>
          <w:rFonts w:ascii="Times New Roman" w:hAnsi="Times New Roman" w:cs="Times New Roman"/>
          <w:b/>
          <w:bCs/>
        </w:rPr>
        <w:t>has not been</w:t>
      </w:r>
      <w:r w:rsidRPr="0055430B">
        <w:rPr>
          <w:rFonts w:ascii="Times New Roman" w:hAnsi="Times New Roman" w:cs="Times New Roman"/>
        </w:rPr>
        <w:t xml:space="preserve"> stipulated to, but is submitted by:</w:t>
      </w:r>
    </w:p>
    <w:p w14:paraId="15AB2CD9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62E42EFC" w14:textId="77777777" w:rsidR="00AE6737" w:rsidRPr="0055430B" w:rsidRDefault="00AE6737">
      <w:pPr>
        <w:ind w:left="720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ATTORNEY: </w:t>
      </w:r>
      <w:r w:rsidRPr="0055430B">
        <w:rPr>
          <w:rFonts w:ascii="Times New Roman" w:hAnsi="Times New Roman" w:cs="Times New Roman"/>
          <w:u w:val="single"/>
        </w:rPr>
        <w:t xml:space="preserve">                                                                           </w:t>
      </w:r>
    </w:p>
    <w:p w14:paraId="66EB758D" w14:textId="77777777" w:rsidR="00AE6737" w:rsidRPr="0055430B" w:rsidRDefault="00AE6737">
      <w:pPr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 </w:t>
      </w:r>
    </w:p>
    <w:p w14:paraId="720993A9" w14:textId="77777777" w:rsidR="00AE6737" w:rsidRPr="0055430B" w:rsidRDefault="00AE6737">
      <w:pPr>
        <w:ind w:left="720"/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REPRESENTING:  </w:t>
      </w:r>
      <w:r w:rsidRPr="0055430B">
        <w:rPr>
          <w:rFonts w:ascii="Times New Roman" w:hAnsi="Times New Roman" w:cs="Times New Roman"/>
          <w:u w:val="single"/>
        </w:rPr>
        <w:t xml:space="preserve">                                                                     </w:t>
      </w:r>
    </w:p>
    <w:p w14:paraId="7472BABE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70731111" w14:textId="77777777" w:rsidR="00AE6737" w:rsidRPr="0055430B" w:rsidRDefault="00AE6737">
      <w:pPr>
        <w:pStyle w:val="Level1"/>
        <w:tabs>
          <w:tab w:val="left" w:pos="-1440"/>
          <w:tab w:val="num" w:pos="72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  <w:b/>
          <w:bCs/>
        </w:rPr>
        <w:t>PROCEDURES:</w:t>
      </w:r>
    </w:p>
    <w:p w14:paraId="0962B7BC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2B2F52D5" w14:textId="3B145D63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The Court's standard practice at the Scheduling Conference is to set a schedule up to and including the </w:t>
      </w:r>
      <w:r w:rsidRPr="0055430B">
        <w:rPr>
          <w:rFonts w:ascii="Times New Roman" w:hAnsi="Times New Roman" w:cs="Times New Roman"/>
          <w:i/>
          <w:iCs/>
        </w:rPr>
        <w:t>Markman</w:t>
      </w:r>
      <w:r w:rsidRPr="0055430B">
        <w:rPr>
          <w:rFonts w:ascii="Times New Roman" w:hAnsi="Times New Roman" w:cs="Times New Roman"/>
        </w:rPr>
        <w:t xml:space="preserve"> hearing but no further. Following the </w:t>
      </w:r>
      <w:r w:rsidRPr="0055430B">
        <w:rPr>
          <w:rFonts w:ascii="Times New Roman" w:hAnsi="Times New Roman" w:cs="Times New Roman"/>
          <w:i/>
          <w:iCs/>
        </w:rPr>
        <w:t>Markman</w:t>
      </w:r>
      <w:r w:rsidRPr="0055430B">
        <w:rPr>
          <w:rFonts w:ascii="Times New Roman" w:hAnsi="Times New Roman" w:cs="Times New Roman"/>
        </w:rPr>
        <w:t xml:space="preserve"> hearing, and the issuance of a decision thereon, the Court will hold a second Scheduling Conference to set a schedule for resolution of all remaining issues.</w:t>
      </w:r>
    </w:p>
    <w:p w14:paraId="51897D4F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229927ED" w14:textId="3ED6374D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Thus, the purpose of this first Scheduling Conference is to prepare for and set a date for the </w:t>
      </w:r>
      <w:r w:rsidRPr="0055430B">
        <w:rPr>
          <w:rFonts w:ascii="Times New Roman" w:hAnsi="Times New Roman" w:cs="Times New Roman"/>
          <w:i/>
          <w:iCs/>
        </w:rPr>
        <w:t>Markman</w:t>
      </w:r>
      <w:r w:rsidRPr="0055430B">
        <w:rPr>
          <w:rFonts w:ascii="Times New Roman" w:hAnsi="Times New Roman" w:cs="Times New Roman"/>
        </w:rPr>
        <w:t xml:space="preserve"> hearing.</w:t>
      </w:r>
    </w:p>
    <w:p w14:paraId="689D7BF9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7CA9E73B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Three (3) days prior to the Scheduling Conference, counsel shall file a Litigation Plan along the lines set forth in the </w:t>
      </w:r>
      <w:r w:rsidRPr="0055430B">
        <w:rPr>
          <w:rFonts w:ascii="Times New Roman" w:hAnsi="Times New Roman" w:cs="Times New Roman"/>
          <w:i/>
          <w:iCs/>
        </w:rPr>
        <w:t>Patent Local Rules</w:t>
      </w:r>
      <w:r w:rsidR="007A3E35">
        <w:rPr>
          <w:rFonts w:ascii="Times New Roman" w:hAnsi="Times New Roman" w:cs="Times New Roman"/>
          <w:iCs/>
        </w:rPr>
        <w:t xml:space="preserve"> adopted by the District of Idaho on January 1, 2017</w:t>
      </w:r>
      <w:r w:rsidRPr="0055430B">
        <w:rPr>
          <w:rFonts w:ascii="Times New Roman" w:hAnsi="Times New Roman" w:cs="Times New Roman"/>
        </w:rPr>
        <w:t>.</w:t>
      </w:r>
    </w:p>
    <w:p w14:paraId="1D18B23B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577A3535" w14:textId="77777777" w:rsidR="007A3E35" w:rsidRPr="007A3E35" w:rsidRDefault="00AE6737" w:rsidP="007A3E35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7A3E35">
        <w:rPr>
          <w:rFonts w:ascii="Times New Roman" w:hAnsi="Times New Roman" w:cs="Times New Roman"/>
        </w:rPr>
        <w:t xml:space="preserve">These </w:t>
      </w:r>
      <w:r w:rsidRPr="007A3E35">
        <w:rPr>
          <w:rFonts w:ascii="Times New Roman" w:hAnsi="Times New Roman" w:cs="Times New Roman"/>
          <w:i/>
          <w:iCs/>
        </w:rPr>
        <w:t>Rules</w:t>
      </w:r>
      <w:r w:rsidRPr="007A3E35">
        <w:rPr>
          <w:rFonts w:ascii="Times New Roman" w:hAnsi="Times New Roman" w:cs="Times New Roman"/>
        </w:rPr>
        <w:t xml:space="preserve"> are available at:</w:t>
      </w:r>
      <w:r w:rsidR="007A3E35" w:rsidRPr="007A3E35">
        <w:rPr>
          <w:rFonts w:ascii="Times New Roman" w:hAnsi="Times New Roman" w:cs="Times New Roman"/>
        </w:rPr>
        <w:t xml:space="preserve"> </w:t>
      </w:r>
      <w:hyperlink r:id="rId5" w:history="1">
        <w:r w:rsidR="007A3E35" w:rsidRPr="007A3E35">
          <w:rPr>
            <w:rStyle w:val="Hyperlink"/>
            <w:rFonts w:ascii="Times New Roman" w:hAnsi="Times New Roman" w:cs="Times New Roman"/>
          </w:rPr>
          <w:t>http://id.uscourts.gov/district/forms_fees_rules/Patent_Rules.cfm</w:t>
        </w:r>
      </w:hyperlink>
      <w:r w:rsidRPr="007A3E35">
        <w:rPr>
          <w:rFonts w:ascii="Times New Roman" w:hAnsi="Times New Roman" w:cs="Times New Roman"/>
        </w:rPr>
        <w:t xml:space="preserve">  </w:t>
      </w:r>
    </w:p>
    <w:p w14:paraId="06581FCE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7DC8C460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Attached hereto as Exhibit A is a table with the standard dates from the </w:t>
      </w:r>
      <w:r w:rsidRPr="0055430B">
        <w:rPr>
          <w:rFonts w:ascii="Times New Roman" w:hAnsi="Times New Roman" w:cs="Times New Roman"/>
          <w:i/>
          <w:iCs/>
        </w:rPr>
        <w:t>Rules.</w:t>
      </w:r>
    </w:p>
    <w:p w14:paraId="1A228CF7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3A869D66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The Court does not require strict adherence to </w:t>
      </w:r>
      <w:proofErr w:type="gramStart"/>
      <w:r w:rsidRPr="0055430B">
        <w:rPr>
          <w:rFonts w:ascii="Times New Roman" w:hAnsi="Times New Roman" w:cs="Times New Roman"/>
        </w:rPr>
        <w:t>each and every</w:t>
      </w:r>
      <w:proofErr w:type="gramEnd"/>
      <w:r w:rsidRPr="0055430B">
        <w:rPr>
          <w:rFonts w:ascii="Times New Roman" w:hAnsi="Times New Roman" w:cs="Times New Roman"/>
        </w:rPr>
        <w:t xml:space="preserve"> aspect of these </w:t>
      </w:r>
      <w:r w:rsidRPr="0055430B">
        <w:rPr>
          <w:rFonts w:ascii="Times New Roman" w:hAnsi="Times New Roman" w:cs="Times New Roman"/>
          <w:i/>
          <w:iCs/>
        </w:rPr>
        <w:t xml:space="preserve">Rules.  </w:t>
      </w:r>
      <w:r w:rsidRPr="0055430B">
        <w:rPr>
          <w:rFonts w:ascii="Times New Roman" w:hAnsi="Times New Roman" w:cs="Times New Roman"/>
        </w:rPr>
        <w:t xml:space="preserve">The Court may approve the stipulations of counsel that vary from these </w:t>
      </w:r>
      <w:r w:rsidRPr="0055430B">
        <w:rPr>
          <w:rFonts w:ascii="Times New Roman" w:hAnsi="Times New Roman" w:cs="Times New Roman"/>
          <w:i/>
          <w:iCs/>
        </w:rPr>
        <w:t>Rules</w:t>
      </w:r>
      <w:r w:rsidRPr="0055430B">
        <w:rPr>
          <w:rFonts w:ascii="Times New Roman" w:hAnsi="Times New Roman" w:cs="Times New Roman"/>
        </w:rPr>
        <w:t xml:space="preserve"> if required by the circumstances of this </w:t>
      </w:r>
      <w:proofErr w:type="gramStart"/>
      <w:r w:rsidRPr="0055430B">
        <w:rPr>
          <w:rFonts w:ascii="Times New Roman" w:hAnsi="Times New Roman" w:cs="Times New Roman"/>
        </w:rPr>
        <w:t>particular case</w:t>
      </w:r>
      <w:proofErr w:type="gramEnd"/>
      <w:r w:rsidRPr="0055430B">
        <w:rPr>
          <w:rFonts w:ascii="Times New Roman" w:hAnsi="Times New Roman" w:cs="Times New Roman"/>
        </w:rPr>
        <w:t>.</w:t>
      </w:r>
    </w:p>
    <w:p w14:paraId="59511856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171F839F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>If counsel cannot reach a stipulation on the Litigation Plan, they shall each file their proposed Litigation Plan three (3) days prior to the Scheduling Conference.</w:t>
      </w:r>
    </w:p>
    <w:p w14:paraId="2F091F36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0BFF3A27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>In their Litigation Plan, Counsel must also address:</w:t>
      </w:r>
    </w:p>
    <w:p w14:paraId="5966B459" w14:textId="77777777" w:rsidR="00AE6737" w:rsidRPr="0055430B" w:rsidRDefault="00AE6737">
      <w:pPr>
        <w:pStyle w:val="Level2"/>
        <w:tabs>
          <w:tab w:val="left" w:pos="-1440"/>
          <w:tab w:val="num" w:pos="1440"/>
        </w:tabs>
        <w:rPr>
          <w:rFonts w:ascii="Times New Roman" w:hAnsi="Times New Roman" w:cs="Times New Roman"/>
        </w:rPr>
        <w:sectPr w:rsidR="00AE6737" w:rsidRPr="0055430B" w:rsidSect="00902E7E">
          <w:pgSz w:w="12240" w:h="15840"/>
          <w:pgMar w:top="990" w:right="1440" w:bottom="1440" w:left="1440" w:header="1440" w:footer="1440" w:gutter="0"/>
          <w:cols w:space="720"/>
          <w:noEndnote/>
        </w:sectPr>
      </w:pPr>
    </w:p>
    <w:p w14:paraId="54218D6D" w14:textId="77777777" w:rsidR="00AE6737" w:rsidRPr="0055430B" w:rsidRDefault="00AE6737">
      <w:pPr>
        <w:rPr>
          <w:rFonts w:ascii="Times New Roman" w:hAnsi="Times New Roman" w:cs="Times New Roman"/>
        </w:rPr>
      </w:pPr>
    </w:p>
    <w:p w14:paraId="263B794C" w14:textId="77777777" w:rsidR="00AE6737" w:rsidRPr="0055430B" w:rsidRDefault="00AE6737">
      <w:pPr>
        <w:pStyle w:val="Level3"/>
        <w:tabs>
          <w:tab w:val="left" w:pos="-1440"/>
          <w:tab w:val="num" w:pos="216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A date for the </w:t>
      </w:r>
      <w:r w:rsidRPr="0055430B">
        <w:rPr>
          <w:rFonts w:ascii="Times New Roman" w:hAnsi="Times New Roman" w:cs="Times New Roman"/>
          <w:i/>
          <w:iCs/>
        </w:rPr>
        <w:t xml:space="preserve">Markman </w:t>
      </w:r>
      <w:proofErr w:type="gramStart"/>
      <w:r w:rsidRPr="0055430B">
        <w:rPr>
          <w:rFonts w:ascii="Times New Roman" w:hAnsi="Times New Roman" w:cs="Times New Roman"/>
        </w:rPr>
        <w:t>hearing;</w:t>
      </w:r>
      <w:proofErr w:type="gramEnd"/>
    </w:p>
    <w:p w14:paraId="52A92543" w14:textId="77777777" w:rsidR="00AE6737" w:rsidRPr="0055430B" w:rsidRDefault="00AE6737">
      <w:pPr>
        <w:pStyle w:val="Level3"/>
        <w:tabs>
          <w:tab w:val="left" w:pos="-1440"/>
          <w:tab w:val="num" w:pos="216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t xml:space="preserve">Whether witnesses will be </w:t>
      </w:r>
      <w:proofErr w:type="gramStart"/>
      <w:r w:rsidRPr="0055430B">
        <w:rPr>
          <w:rFonts w:ascii="Times New Roman" w:hAnsi="Times New Roman" w:cs="Times New Roman"/>
        </w:rPr>
        <w:t>called;</w:t>
      </w:r>
      <w:proofErr w:type="gramEnd"/>
    </w:p>
    <w:p w14:paraId="5736EC29" w14:textId="5DF1EE9D" w:rsidR="00AE6737" w:rsidRPr="00902E7E" w:rsidRDefault="00AE6737" w:rsidP="00902E7E">
      <w:pPr>
        <w:pStyle w:val="Level3"/>
        <w:tabs>
          <w:tab w:val="left" w:pos="-1440"/>
          <w:tab w:val="num" w:pos="2160"/>
        </w:tabs>
        <w:rPr>
          <w:rFonts w:ascii="Times New Roman" w:hAnsi="Times New Roman" w:cs="Times New Roman"/>
        </w:rPr>
      </w:pPr>
      <w:r w:rsidRPr="00902E7E">
        <w:rPr>
          <w:rFonts w:ascii="Times New Roman" w:hAnsi="Times New Roman" w:cs="Times New Roman"/>
        </w:rPr>
        <w:t>The estimated length of the hearing.</w:t>
      </w:r>
    </w:p>
    <w:p w14:paraId="710EB2A3" w14:textId="77777777" w:rsidR="00AE6737" w:rsidRPr="0055430B" w:rsidRDefault="00AE6737">
      <w:pPr>
        <w:rPr>
          <w:rFonts w:ascii="Times New Roman" w:hAnsi="Times New Roman" w:cs="Times New Roman"/>
        </w:rPr>
        <w:sectPr w:rsidR="00AE6737" w:rsidRPr="0055430B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5BE81DEF" w14:textId="77777777" w:rsidR="00AE6737" w:rsidRPr="0055430B" w:rsidRDefault="00AE6737">
      <w:pPr>
        <w:tabs>
          <w:tab w:val="center" w:pos="4680"/>
        </w:tabs>
        <w:rPr>
          <w:rFonts w:ascii="Times New Roman" w:hAnsi="Times New Roman" w:cs="Times New Roman"/>
        </w:rPr>
      </w:pPr>
      <w:r w:rsidRPr="0055430B">
        <w:rPr>
          <w:rFonts w:ascii="Times New Roman" w:hAnsi="Times New Roman" w:cs="Times New Roman"/>
        </w:rPr>
        <w:lastRenderedPageBreak/>
        <w:tab/>
      </w:r>
      <w:r w:rsidRPr="0055430B">
        <w:rPr>
          <w:rFonts w:ascii="Times New Roman" w:hAnsi="Times New Roman" w:cs="Times New Roman"/>
          <w:b/>
          <w:bCs/>
        </w:rPr>
        <w:t>Exhibit A</w:t>
      </w: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E6737" w:rsidRPr="0055430B" w14:paraId="6175F17C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D14A70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221AB1D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</w:r>
            <w:r w:rsidRPr="0055430B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AE5E43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7C630B4D" w14:textId="77777777" w:rsidR="00AE6737" w:rsidRPr="0055430B" w:rsidRDefault="00AE6737" w:rsidP="007A3E35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</w:r>
            <w:r w:rsidRPr="0055430B">
              <w:rPr>
                <w:rFonts w:ascii="Times New Roman" w:hAnsi="Times New Roman" w:cs="Times New Roman"/>
                <w:b/>
                <w:bCs/>
              </w:rPr>
              <w:t>Local Rule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B57670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28DB56E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</w:r>
            <w:r w:rsidRPr="0055430B">
              <w:rPr>
                <w:rFonts w:ascii="Times New Roman" w:hAnsi="Times New Roman" w:cs="Times New Roman"/>
                <w:b/>
                <w:bCs/>
              </w:rPr>
              <w:t>Due Date</w:t>
            </w:r>
          </w:p>
        </w:tc>
      </w:tr>
      <w:tr w:rsidR="00AE6737" w:rsidRPr="0055430B" w14:paraId="6EF15568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BE088D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095ACF49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(1) Disclosure of asserted claims and infringement contentions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CED09F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4826714D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3-1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D57576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907E537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10 days after Scheduling Conference</w:t>
            </w:r>
          </w:p>
        </w:tc>
      </w:tr>
      <w:tr w:rsidR="00AE6737" w:rsidRPr="0055430B" w14:paraId="4749F587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665C3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0ED4189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(2) Document production associated with asserted claims &amp; infringement contentions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F81983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0F769EB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3-2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A7201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0C878D72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  <w:i/>
                <w:iCs/>
              </w:rPr>
              <w:t>[same as Activity (1)]</w:t>
            </w:r>
          </w:p>
        </w:tc>
      </w:tr>
      <w:tr w:rsidR="00AE6737" w:rsidRPr="0055430B" w14:paraId="1E7D3CCD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5D0ED6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C0F1CEE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(3) Patent invalidity contentions (due from party opposing claims of infringement)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D5B399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357C5F4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3-3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520585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AAA9E07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45 days after service of asserted claims and infringement contentions</w:t>
            </w:r>
          </w:p>
        </w:tc>
      </w:tr>
      <w:tr w:rsidR="00AE6737" w:rsidRPr="0055430B" w14:paraId="6B12EF2E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92382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581D690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(4) Document production associated with invalidity contentions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11F57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78EC1BF4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3-4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F94732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A2CFDD7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  <w:i/>
                <w:iCs/>
              </w:rPr>
              <w:t>[same as Activity (3)]</w:t>
            </w:r>
          </w:p>
        </w:tc>
      </w:tr>
      <w:tr w:rsidR="00AE6737" w:rsidRPr="0055430B" w14:paraId="78B8A73C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6E9BE4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E5F4E1F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(5) Amendments to Activity (1) and (3)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44E25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2ACE13B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3-6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4946F0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4F3328FF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Only by Court Order upon timely showing of good cause.</w:t>
            </w:r>
          </w:p>
        </w:tc>
      </w:tr>
      <w:tr w:rsidR="00AE6737" w:rsidRPr="0055430B" w14:paraId="0A98AA2D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49883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88BD332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(6) Exchange lists of Proposed Terms &amp; identification of 10 most important terms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321DC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8AE05E2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4-1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2482BA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EB7C1F6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  <w:i/>
                <w:iCs/>
              </w:rPr>
              <w:t>[see Rule 4-1(a)]</w:t>
            </w:r>
          </w:p>
        </w:tc>
      </w:tr>
      <w:tr w:rsidR="00AE6737" w:rsidRPr="0055430B" w14:paraId="7C1BFEE4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C52F7B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0BB3ED4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(7) Exchange of preliminary claim constructions and extrinsic evidence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6606E3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5722EAF6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4-2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9CB78E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243ABAC6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20 days after exchange of lists in Activity (6)</w:t>
            </w:r>
          </w:p>
        </w:tc>
      </w:tr>
      <w:tr w:rsidR="00AE6737" w:rsidRPr="0055430B" w14:paraId="5B8C2EE8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0E5D2C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7195401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(8) Filing of joint claim construction and prehearing statement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B856DF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57E97ECE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4-3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B27DDA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192E5F1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60 days after service of patent invalidity contentions in Activity (3)</w:t>
            </w:r>
          </w:p>
        </w:tc>
      </w:tr>
      <w:tr w:rsidR="00AE6737" w:rsidRPr="0055430B" w14:paraId="553A1DEB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F06AC0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413C13E1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(9) Completion of claim construction discovery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D36732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212AB571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4-4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7F8671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7D558772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30 days after filing of joint claim construction and prehearing statement</w:t>
            </w:r>
          </w:p>
        </w:tc>
      </w:tr>
      <w:tr w:rsidR="00AE6737" w:rsidRPr="0055430B" w14:paraId="51A60B4A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9AA3CD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148ACABD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(10) Claim construction briefs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907147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5F56889B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4-5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C39E05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0C91D506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  <w:i/>
                <w:iCs/>
              </w:rPr>
              <w:t>[see Rule 4-5]</w:t>
            </w:r>
          </w:p>
        </w:tc>
      </w:tr>
      <w:tr w:rsidR="00AE6737" w:rsidRPr="0055430B" w14:paraId="06C5F403" w14:textId="77777777">
        <w:trPr>
          <w:jc w:val="center"/>
        </w:trPr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0BF3FE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679C3681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(11) Claim construction hearing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E3EDE5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392A4DC6" w14:textId="77777777" w:rsidR="00AE6737" w:rsidRPr="0055430B" w:rsidRDefault="00AE6737">
            <w:pPr>
              <w:tabs>
                <w:tab w:val="center" w:pos="1440"/>
              </w:tabs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ab/>
              <w:t>4-6</w:t>
            </w:r>
          </w:p>
        </w:tc>
        <w:tc>
          <w:tcPr>
            <w:tcW w:w="31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667D8" w14:textId="77777777" w:rsidR="00AE6737" w:rsidRPr="0055430B" w:rsidRDefault="00AE6737">
            <w:pPr>
              <w:spacing w:line="120" w:lineRule="exact"/>
              <w:rPr>
                <w:rFonts w:ascii="Times New Roman" w:hAnsi="Times New Roman" w:cs="Times New Roman"/>
              </w:rPr>
            </w:pPr>
          </w:p>
          <w:p w14:paraId="55FA84D0" w14:textId="77777777" w:rsidR="00AE6737" w:rsidRPr="0055430B" w:rsidRDefault="00AE6737">
            <w:pPr>
              <w:spacing w:after="58"/>
              <w:rPr>
                <w:rFonts w:ascii="Times New Roman" w:hAnsi="Times New Roman" w:cs="Times New Roman"/>
              </w:rPr>
            </w:pPr>
            <w:r w:rsidRPr="0055430B">
              <w:rPr>
                <w:rFonts w:ascii="Times New Roman" w:hAnsi="Times New Roman" w:cs="Times New Roman"/>
              </w:rPr>
              <w:t>at least 10 days after final claim construction brief is filed.</w:t>
            </w:r>
          </w:p>
        </w:tc>
      </w:tr>
    </w:tbl>
    <w:p w14:paraId="732EBF66" w14:textId="77777777" w:rsidR="0055430B" w:rsidRPr="0055430B" w:rsidRDefault="0055430B" w:rsidP="007A3E35">
      <w:pPr>
        <w:rPr>
          <w:rFonts w:ascii="Times New Roman" w:hAnsi="Times New Roman" w:cs="Times New Roman"/>
        </w:rPr>
      </w:pPr>
    </w:p>
    <w:sectPr w:rsidR="0055430B" w:rsidRPr="0055430B" w:rsidSect="00AE6737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0"/>
    <w:name w:val="Document"/>
    <w:lvl w:ilvl="0">
      <w:start w:val="1"/>
      <w:numFmt w:val="upperRoman"/>
      <w:pStyle w:val="Level1"/>
      <w:lvlText w:val="%1."/>
      <w:lvlJc w:val="left"/>
    </w:lvl>
    <w:lvl w:ilvl="1">
      <w:start w:val="1"/>
      <w:numFmt w:val="decimal"/>
      <w:pStyle w:val="Level2"/>
      <w:lvlText w:val="%2."/>
      <w:lvlJc w:val="left"/>
    </w:lvl>
    <w:lvl w:ilvl="2">
      <w:start w:val="1"/>
      <w:numFmt w:val="upperLetter"/>
      <w:pStyle w:val="Level3"/>
      <w:lvlText w:val="%3."/>
      <w:lvlJc w:val="left"/>
    </w:lvl>
    <w:lvl w:ilvl="3">
      <w:start w:val="1"/>
      <w:numFmt w:val="lowerLetter"/>
      <w:lvlText w:val="%4.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num w:numId="1" w16cid:durableId="310251807">
    <w:abstractNumId w:val="0"/>
    <w:lvlOverride w:ilvl="0">
      <w:startOverride w:val="1"/>
      <w:lvl w:ilvl="0">
        <w:start w:val="1"/>
        <w:numFmt w:val="upperRoman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pStyle w:val="Level2"/>
        <w:lvlText w:val="%2."/>
        <w:lvlJc w:val="left"/>
      </w:lvl>
    </w:lvlOverride>
    <w:lvlOverride w:ilvl="2">
      <w:startOverride w:val="1"/>
      <w:lvl w:ilvl="2">
        <w:start w:val="1"/>
        <w:numFmt w:val="upperLetter"/>
        <w:pStyle w:val="Level3"/>
        <w:lvlText w:val="%3.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(%5)"/>
        <w:lvlJc w:val="left"/>
      </w:lvl>
    </w:lvlOverride>
    <w:lvlOverride w:ilvl="5">
      <w:startOverride w:val="1"/>
      <w:lvl w:ilvl="5">
        <w:start w:val="1"/>
        <w:numFmt w:val="lowerLetter"/>
        <w:lvlText w:val="(%6)"/>
        <w:lvlJc w:val="left"/>
      </w:lvl>
    </w:lvlOverride>
    <w:lvlOverride w:ilvl="6">
      <w:startOverride w:val="1"/>
      <w:lvl w:ilvl="6">
        <w:start w:val="1"/>
        <w:numFmt w:val="lowerRoman"/>
        <w:lvlText w:val="%7)"/>
        <w:lvlJc w:val="left"/>
      </w:lvl>
    </w:lvlOverride>
    <w:lvlOverride w:ilvl="7">
      <w:startOverride w:val="1"/>
      <w:lvl w:ilvl="7">
        <w:start w:val="1"/>
        <w:numFmt w:val="lowerLetter"/>
        <w:lvlText w:val="%8)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37"/>
    <w:rsid w:val="002F4E4C"/>
    <w:rsid w:val="0055430B"/>
    <w:rsid w:val="007A3E35"/>
    <w:rsid w:val="00902E7E"/>
    <w:rsid w:val="00AE3690"/>
    <w:rsid w:val="00AE6737"/>
    <w:rsid w:val="00B060AE"/>
    <w:rsid w:val="00F5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20417"/>
  <w14:defaultImageDpi w14:val="0"/>
  <w15:docId w15:val="{EF190960-5688-49CA-968B-7C847A1A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customStyle="1" w:styleId="Level1">
    <w:name w:val="Level 1"/>
    <w:basedOn w:val="Normal"/>
    <w:uiPriority w:val="99"/>
    <w:pPr>
      <w:numPr>
        <w:numId w:val="1"/>
      </w:numPr>
      <w:ind w:left="720" w:hanging="720"/>
      <w:outlineLvl w:val="0"/>
    </w:pPr>
  </w:style>
  <w:style w:type="paragraph" w:customStyle="1" w:styleId="Level2">
    <w:name w:val="Level 2"/>
    <w:basedOn w:val="Normal"/>
    <w:uiPriority w:val="99"/>
    <w:pPr>
      <w:numPr>
        <w:ilvl w:val="1"/>
        <w:numId w:val="1"/>
      </w:numPr>
      <w:ind w:left="1440" w:hanging="720"/>
      <w:outlineLvl w:val="1"/>
    </w:pPr>
  </w:style>
  <w:style w:type="paragraph" w:customStyle="1" w:styleId="Level3">
    <w:name w:val="Level 3"/>
    <w:basedOn w:val="Normal"/>
    <w:uiPriority w:val="99"/>
    <w:pPr>
      <w:numPr>
        <w:ilvl w:val="2"/>
        <w:numId w:val="1"/>
      </w:numPr>
      <w:ind w:left="2160" w:hanging="720"/>
      <w:outlineLvl w:val="2"/>
    </w:pPr>
  </w:style>
  <w:style w:type="paragraph" w:styleId="ListParagraph">
    <w:name w:val="List Paragraph"/>
    <w:basedOn w:val="Normal"/>
    <w:uiPriority w:val="34"/>
    <w:qFormat/>
    <w:rsid w:val="007A3E35"/>
    <w:pPr>
      <w:ind w:left="720"/>
    </w:pPr>
  </w:style>
  <w:style w:type="character" w:styleId="Hyperlink">
    <w:name w:val="Hyperlink"/>
    <w:basedOn w:val="DefaultParagraphFont"/>
    <w:uiPriority w:val="99"/>
    <w:unhideWhenUsed/>
    <w:rsid w:val="007A3E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d.uscourts.gov/district/forms_fees_rules/Patent_Rules.cf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2871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District of Idaho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Extern2</dc:creator>
  <cp:lastModifiedBy>Kelly Montgomery</cp:lastModifiedBy>
  <cp:revision>2</cp:revision>
  <dcterms:created xsi:type="dcterms:W3CDTF">2023-10-30T21:23:00Z</dcterms:created>
  <dcterms:modified xsi:type="dcterms:W3CDTF">2023-10-30T21:23:00Z</dcterms:modified>
</cp:coreProperties>
</file>