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4C83A" w14:textId="29A9325F" w:rsidR="00E12D35" w:rsidRPr="000E4572" w:rsidRDefault="00482607" w:rsidP="007B0AB4">
      <w:pPr>
        <w:spacing w:after="120" w:line="480" w:lineRule="auto"/>
        <w:jc w:val="center"/>
        <w:rPr>
          <w:rFonts w:ascii="Times New Roman" w:hAnsi="Times New Roman" w:cs="Times New Roman"/>
          <w:b/>
          <w:bCs/>
        </w:rPr>
      </w:pPr>
      <w:r w:rsidRPr="000E4572">
        <w:rPr>
          <w:rFonts w:ascii="Times New Roman" w:hAnsi="Times New Roman" w:cs="Times New Roman"/>
          <w:b/>
          <w:bCs/>
        </w:rPr>
        <w:t>How PBOC Combat China’s Structural Recession</w:t>
      </w:r>
    </w:p>
    <w:p w14:paraId="620F66E1" w14:textId="0A6544B9" w:rsidR="00482607" w:rsidRDefault="00482607" w:rsidP="007B0AB4">
      <w:pPr>
        <w:spacing w:after="120" w:line="480" w:lineRule="auto"/>
        <w:jc w:val="center"/>
        <w:rPr>
          <w:rFonts w:ascii="Times New Roman" w:hAnsi="Times New Roman" w:cs="Times New Roman"/>
          <w:sz w:val="22"/>
          <w:szCs w:val="22"/>
        </w:rPr>
      </w:pPr>
      <w:r w:rsidRPr="00482607">
        <w:rPr>
          <w:rFonts w:ascii="Times New Roman" w:hAnsi="Times New Roman" w:cs="Times New Roman"/>
          <w:sz w:val="22"/>
          <w:szCs w:val="22"/>
        </w:rPr>
        <w:t>Yifei Yang</w:t>
      </w:r>
    </w:p>
    <w:p w14:paraId="34539763" w14:textId="009371F3" w:rsidR="00EB1978" w:rsidRPr="00482607" w:rsidRDefault="00105537" w:rsidP="007B0AB4">
      <w:pPr>
        <w:spacing w:after="120" w:line="480" w:lineRule="auto"/>
        <w:jc w:val="center"/>
        <w:rPr>
          <w:rFonts w:ascii="Times New Roman" w:hAnsi="Times New Roman" w:cs="Times New Roman"/>
          <w:sz w:val="22"/>
          <w:szCs w:val="22"/>
        </w:rPr>
      </w:pPr>
      <w:r>
        <w:rPr>
          <w:rFonts w:ascii="Times New Roman" w:hAnsi="Times New Roman" w:cs="Times New Roman" w:hint="eastAsia"/>
          <w:sz w:val="22"/>
          <w:szCs w:val="22"/>
        </w:rPr>
        <w:t>May 2026</w:t>
      </w:r>
    </w:p>
    <w:p w14:paraId="41E29134" w14:textId="77777777" w:rsidR="002E6C82" w:rsidRDefault="002E6C82">
      <w:pPr>
        <w:rPr>
          <w:rFonts w:ascii="Times New Roman" w:hAnsi="Times New Roman" w:cs="Times New Roman"/>
          <w:b/>
          <w:bCs/>
          <w:sz w:val="22"/>
          <w:szCs w:val="22"/>
        </w:rPr>
      </w:pPr>
    </w:p>
    <w:p w14:paraId="7B481A7D" w14:textId="57AA78A1" w:rsidR="002E6C82" w:rsidRDefault="002E6C82" w:rsidP="002E6C82">
      <w:pPr>
        <w:jc w:val="center"/>
        <w:rPr>
          <w:rFonts w:ascii="Times New Roman" w:hAnsi="Times New Roman" w:cs="Times New Roman"/>
          <w:b/>
          <w:bCs/>
          <w:sz w:val="22"/>
          <w:szCs w:val="22"/>
        </w:rPr>
      </w:pPr>
      <w:r>
        <w:rPr>
          <w:rFonts w:ascii="Times New Roman" w:hAnsi="Times New Roman" w:cs="Times New Roman" w:hint="eastAsia"/>
          <w:b/>
          <w:bCs/>
          <w:sz w:val="22"/>
          <w:szCs w:val="22"/>
        </w:rPr>
        <w:t>Abstract</w:t>
      </w:r>
    </w:p>
    <w:p w14:paraId="0BDDD113" w14:textId="6706A97F" w:rsidR="002E6C82" w:rsidRDefault="00061354" w:rsidP="00B137E9">
      <w:pPr>
        <w:spacing w:after="120" w:line="480" w:lineRule="auto"/>
        <w:jc w:val="both"/>
        <w:rPr>
          <w:rFonts w:ascii="Times New Roman" w:hAnsi="Times New Roman" w:cs="Times New Roman"/>
          <w:sz w:val="22"/>
          <w:szCs w:val="22"/>
        </w:rPr>
      </w:pPr>
      <w:r w:rsidRPr="00061354">
        <w:rPr>
          <w:rFonts w:ascii="Times New Roman" w:hAnsi="Times New Roman" w:cs="Times New Roman"/>
          <w:sz w:val="22"/>
          <w:szCs w:val="22"/>
        </w:rPr>
        <w:t>China is currently experiencing a profound structural recession characterized by persistent deflationary pressures, a collapsing real estate sector, an aging population, and a challenging industrial transformation. While the COVID-19 pandemic served as a random negative shock that exacerbated these issues, the fundamental causes of China’s economic slowdown are deeply rooted in long-term structural adjustments that began prior to the pandemic, most notably the shift away from a debt-fueled, property-driven growth model. This policy paper analyzes the macroeconomic implications of these structural shifts, particularly focusing on the collapse of the land fiscal policy system, demographic headwinds, and the transition toward high-technology manufacturing. To combat deflation and stimulate domestic demand, this paper recommends that the People’s Bank of China (PBOC) transition its exchange rate regime to a crawling peg, similar to the framework utilized by the Monetary Authority of Singapore (MAS), to allow for gradual Renminbi (RMB) appreciation. Furthermore, it advocates for the formal adoption of an inflation targeting framework to anchor market expectations, alongside calibrated interest rate reductions and the maintenance of capital controls with liberalized foreign direct investment (FDI) limits.</w:t>
      </w:r>
    </w:p>
    <w:p w14:paraId="7CCE86E4" w14:textId="77777777" w:rsidR="00332B15" w:rsidRDefault="00332B15" w:rsidP="00B137E9">
      <w:pPr>
        <w:spacing w:after="120" w:line="480" w:lineRule="auto"/>
        <w:jc w:val="both"/>
        <w:rPr>
          <w:rFonts w:ascii="Times New Roman" w:hAnsi="Times New Roman" w:cs="Times New Roman"/>
          <w:sz w:val="22"/>
          <w:szCs w:val="22"/>
        </w:rPr>
      </w:pPr>
    </w:p>
    <w:p w14:paraId="6BAAE508" w14:textId="0B876F18" w:rsidR="00332B15" w:rsidRPr="00061354" w:rsidRDefault="00332B15" w:rsidP="00B137E9">
      <w:pPr>
        <w:spacing w:after="120" w:line="480" w:lineRule="auto"/>
        <w:jc w:val="both"/>
        <w:rPr>
          <w:rFonts w:ascii="Times New Roman" w:hAnsi="Times New Roman" w:cs="Times New Roman" w:hint="eastAsia"/>
          <w:sz w:val="22"/>
          <w:szCs w:val="22"/>
        </w:rPr>
      </w:pPr>
      <w:r>
        <w:rPr>
          <w:rFonts w:ascii="Times New Roman" w:hAnsi="Times New Roman" w:cs="Times New Roman" w:hint="eastAsia"/>
          <w:sz w:val="22"/>
          <w:szCs w:val="22"/>
        </w:rPr>
        <w:t>Key Words: Monetary Policy, China</w:t>
      </w:r>
      <w:r w:rsidR="001D010B">
        <w:rPr>
          <w:rFonts w:ascii="Times New Roman" w:hAnsi="Times New Roman" w:cs="Times New Roman"/>
          <w:sz w:val="22"/>
          <w:szCs w:val="22"/>
        </w:rPr>
        <w:t>’</w:t>
      </w:r>
      <w:r w:rsidR="001D010B">
        <w:rPr>
          <w:rFonts w:ascii="Times New Roman" w:hAnsi="Times New Roman" w:cs="Times New Roman" w:hint="eastAsia"/>
          <w:sz w:val="22"/>
          <w:szCs w:val="22"/>
        </w:rPr>
        <w:t xml:space="preserve">s Economy, </w:t>
      </w:r>
      <w:r w:rsidR="00AE5E8A">
        <w:rPr>
          <w:rFonts w:ascii="Times New Roman" w:hAnsi="Times New Roman" w:cs="Times New Roman" w:hint="eastAsia"/>
          <w:sz w:val="22"/>
          <w:szCs w:val="22"/>
        </w:rPr>
        <w:t>Central Banking</w:t>
      </w:r>
    </w:p>
    <w:p w14:paraId="149C2B2E" w14:textId="3F856387" w:rsidR="002E6C82" w:rsidRDefault="002E6C82">
      <w:pPr>
        <w:rPr>
          <w:rFonts w:ascii="Times New Roman" w:hAnsi="Times New Roman" w:cs="Times New Roman"/>
          <w:b/>
          <w:bCs/>
          <w:sz w:val="22"/>
          <w:szCs w:val="22"/>
        </w:rPr>
      </w:pPr>
      <w:r>
        <w:rPr>
          <w:rFonts w:ascii="Times New Roman" w:hAnsi="Times New Roman" w:cs="Times New Roman"/>
          <w:b/>
          <w:bCs/>
          <w:sz w:val="22"/>
          <w:szCs w:val="22"/>
        </w:rPr>
        <w:br w:type="page"/>
      </w:r>
    </w:p>
    <w:p w14:paraId="285142B2" w14:textId="67FDF490" w:rsidR="00EB1978" w:rsidRPr="00EB1978" w:rsidRDefault="00EB1978" w:rsidP="00A374D2">
      <w:pPr>
        <w:rPr>
          <w:rFonts w:ascii="Times New Roman" w:hAnsi="Times New Roman" w:cs="Times New Roman"/>
          <w:b/>
          <w:bCs/>
          <w:sz w:val="22"/>
          <w:szCs w:val="22"/>
        </w:rPr>
      </w:pPr>
      <w:r w:rsidRPr="00EB1978">
        <w:rPr>
          <w:rFonts w:ascii="Times New Roman" w:hAnsi="Times New Roman" w:cs="Times New Roman" w:hint="eastAsia"/>
          <w:b/>
          <w:bCs/>
          <w:sz w:val="22"/>
          <w:szCs w:val="22"/>
        </w:rPr>
        <w:lastRenderedPageBreak/>
        <w:t>Background</w:t>
      </w:r>
    </w:p>
    <w:p w14:paraId="39AD7BCC" w14:textId="5F85932E" w:rsidR="00EB1978" w:rsidRDefault="00EB1978" w:rsidP="007B0AB4">
      <w:pPr>
        <w:spacing w:after="120" w:line="480" w:lineRule="auto"/>
        <w:jc w:val="both"/>
        <w:rPr>
          <w:rFonts w:ascii="Times New Roman" w:hAnsi="Times New Roman" w:cs="Times New Roman"/>
          <w:sz w:val="22"/>
          <w:szCs w:val="22"/>
        </w:rPr>
      </w:pPr>
      <w:r w:rsidRPr="00EB1978">
        <w:rPr>
          <w:rFonts w:ascii="Times New Roman" w:hAnsi="Times New Roman" w:cs="Times New Roman"/>
          <w:sz w:val="22"/>
          <w:szCs w:val="22"/>
        </w:rPr>
        <w:t>For decades, China</w:t>
      </w:r>
      <w:r>
        <w:rPr>
          <w:rFonts w:ascii="Times New Roman" w:hAnsi="Times New Roman" w:cs="Times New Roman"/>
          <w:sz w:val="22"/>
          <w:szCs w:val="22"/>
        </w:rPr>
        <w:t>’</w:t>
      </w:r>
      <w:r w:rsidRPr="00EB1978">
        <w:rPr>
          <w:rFonts w:ascii="Times New Roman" w:hAnsi="Times New Roman" w:cs="Times New Roman"/>
          <w:sz w:val="22"/>
          <w:szCs w:val="22"/>
        </w:rPr>
        <w:t>s economic miracle was propelled by a combination of export-led manufacturing, massive infrastructure investment, and a booming real estate sector. The property market, along with related industries, historically accounted for approximately 25% to 30% of China</w:t>
      </w:r>
      <w:r>
        <w:rPr>
          <w:rFonts w:ascii="Times New Roman" w:hAnsi="Times New Roman" w:cs="Times New Roman"/>
          <w:sz w:val="22"/>
          <w:szCs w:val="22"/>
        </w:rPr>
        <w:t>’</w:t>
      </w:r>
      <w:r w:rsidRPr="00EB1978">
        <w:rPr>
          <w:rFonts w:ascii="Times New Roman" w:hAnsi="Times New Roman" w:cs="Times New Roman"/>
          <w:sz w:val="22"/>
          <w:szCs w:val="22"/>
        </w:rPr>
        <w:t xml:space="preserve">s Gross Domestic Product (GDP) [1]. Crucially, this growth model was underpinned by a </w:t>
      </w:r>
      <w:r w:rsidR="000A24B4">
        <w:rPr>
          <w:rFonts w:ascii="Times New Roman" w:hAnsi="Times New Roman" w:cs="Times New Roman"/>
          <w:sz w:val="22"/>
          <w:szCs w:val="22"/>
        </w:rPr>
        <w:t>“</w:t>
      </w:r>
      <w:r w:rsidRPr="00EB1978">
        <w:rPr>
          <w:rFonts w:ascii="Times New Roman" w:hAnsi="Times New Roman" w:cs="Times New Roman"/>
          <w:sz w:val="22"/>
          <w:szCs w:val="22"/>
        </w:rPr>
        <w:t>land fiscal policy</w:t>
      </w:r>
      <w:r w:rsidR="000A24B4">
        <w:rPr>
          <w:rFonts w:ascii="Times New Roman" w:hAnsi="Times New Roman" w:cs="Times New Roman"/>
          <w:sz w:val="22"/>
          <w:szCs w:val="22"/>
        </w:rPr>
        <w:t>”</w:t>
      </w:r>
      <w:r w:rsidRPr="00EB1978">
        <w:rPr>
          <w:rFonts w:ascii="Times New Roman" w:hAnsi="Times New Roman" w:cs="Times New Roman"/>
          <w:sz w:val="22"/>
          <w:szCs w:val="22"/>
        </w:rPr>
        <w:t xml:space="preserve"> system, where local governments relied heavily on the sale of land use rights to property developers to finance infrastructure projects and public services. This system created a feedback loop of rising property prices, increasing local government revenues, and expanding debt through Local Government Financing Vehicles (LGFVs).</w:t>
      </w:r>
    </w:p>
    <w:p w14:paraId="4F7312B5" w14:textId="30E8B94A" w:rsidR="00EB1978" w:rsidRDefault="00EB1978" w:rsidP="007B0AB4">
      <w:pPr>
        <w:spacing w:after="120" w:line="480" w:lineRule="auto"/>
        <w:jc w:val="both"/>
        <w:rPr>
          <w:rFonts w:ascii="Times New Roman" w:hAnsi="Times New Roman" w:cs="Times New Roman"/>
          <w:sz w:val="22"/>
          <w:szCs w:val="22"/>
        </w:rPr>
      </w:pPr>
      <w:r w:rsidRPr="00EB1978">
        <w:rPr>
          <w:rFonts w:ascii="Times New Roman" w:hAnsi="Times New Roman" w:cs="Times New Roman"/>
          <w:sz w:val="22"/>
          <w:szCs w:val="22"/>
        </w:rPr>
        <w:t xml:space="preserve">However, recognizing the systemic risks posed by excessive leverage in the property sector, the Chinese government introduced the </w:t>
      </w:r>
      <w:r w:rsidR="000A24B4">
        <w:rPr>
          <w:rFonts w:ascii="Times New Roman" w:hAnsi="Times New Roman" w:cs="Times New Roman"/>
          <w:sz w:val="22"/>
          <w:szCs w:val="22"/>
        </w:rPr>
        <w:t>“</w:t>
      </w:r>
      <w:r w:rsidRPr="00EB1978">
        <w:rPr>
          <w:rFonts w:ascii="Times New Roman" w:hAnsi="Times New Roman" w:cs="Times New Roman"/>
          <w:sz w:val="22"/>
          <w:szCs w:val="22"/>
        </w:rPr>
        <w:t>Three Red Lines</w:t>
      </w:r>
      <w:r w:rsidR="000A24B4">
        <w:rPr>
          <w:rFonts w:ascii="Times New Roman" w:hAnsi="Times New Roman" w:cs="Times New Roman"/>
          <w:sz w:val="22"/>
          <w:szCs w:val="22"/>
        </w:rPr>
        <w:t>”</w:t>
      </w:r>
      <w:r w:rsidRPr="00EB1978">
        <w:rPr>
          <w:rFonts w:ascii="Times New Roman" w:hAnsi="Times New Roman" w:cs="Times New Roman"/>
          <w:sz w:val="22"/>
          <w:szCs w:val="22"/>
        </w:rPr>
        <w:t xml:space="preserve"> policy in August 2020 [2]. This regulatory framework strictly limited the debt-to-cash, debt-to-equity, and debt-to-assets ratios of property developers. The policy effectively choked off credit to highly leveraged firms, precipitating a severe liquidity crisis that culminated in the default of Evergrande Group in 2021, which held over $300 billion in liabilities [3].</w:t>
      </w:r>
    </w:p>
    <w:p w14:paraId="0CA17C2E" w14:textId="02036D22" w:rsidR="00EB1978" w:rsidRPr="00EB1978" w:rsidRDefault="00EB1978" w:rsidP="007B0AB4">
      <w:pPr>
        <w:spacing w:after="120" w:line="480" w:lineRule="auto"/>
        <w:jc w:val="both"/>
        <w:rPr>
          <w:rFonts w:ascii="Times New Roman" w:hAnsi="Times New Roman" w:cs="Times New Roman"/>
          <w:sz w:val="22"/>
          <w:szCs w:val="22"/>
        </w:rPr>
      </w:pPr>
      <w:r w:rsidRPr="00EB1978">
        <w:rPr>
          <w:rFonts w:ascii="Times New Roman" w:hAnsi="Times New Roman" w:cs="Times New Roman"/>
          <w:sz w:val="22"/>
          <w:szCs w:val="22"/>
        </w:rPr>
        <w:t>Simultaneously, China</w:t>
      </w:r>
      <w:r w:rsidR="007B0AB4">
        <w:rPr>
          <w:rFonts w:ascii="Times New Roman" w:hAnsi="Times New Roman" w:cs="Times New Roman"/>
          <w:sz w:val="22"/>
          <w:szCs w:val="22"/>
        </w:rPr>
        <w:t>’</w:t>
      </w:r>
      <w:r w:rsidRPr="00EB1978">
        <w:rPr>
          <w:rFonts w:ascii="Times New Roman" w:hAnsi="Times New Roman" w:cs="Times New Roman"/>
          <w:sz w:val="22"/>
          <w:szCs w:val="22"/>
        </w:rPr>
        <w:t xml:space="preserve">s demographic dividend, which had provided a vast supply of cheap labor, began to reverse. The population is aging rapidly, and the birth rate has plummeted to historic lows, leading to a shrinking workforce and increased social welfare burdens [4]. In response to these domestic challenges and rising geopolitical tensions, the government accelerated its industrial policy, shifting focus from basic, labor-intensive manufacturing to high-technology sectors, as outlined in the </w:t>
      </w:r>
      <w:r w:rsidR="00501F94">
        <w:rPr>
          <w:rFonts w:ascii="Times New Roman" w:hAnsi="Times New Roman" w:cs="Times New Roman"/>
          <w:sz w:val="22"/>
          <w:szCs w:val="22"/>
        </w:rPr>
        <w:t>“</w:t>
      </w:r>
      <w:r w:rsidRPr="00EB1978">
        <w:rPr>
          <w:rFonts w:ascii="Times New Roman" w:hAnsi="Times New Roman" w:cs="Times New Roman"/>
          <w:sz w:val="22"/>
          <w:szCs w:val="22"/>
        </w:rPr>
        <w:t>Made in China 2025</w:t>
      </w:r>
      <w:r w:rsidR="00501F94">
        <w:rPr>
          <w:rFonts w:ascii="Times New Roman" w:hAnsi="Times New Roman" w:cs="Times New Roman"/>
          <w:sz w:val="22"/>
          <w:szCs w:val="22"/>
        </w:rPr>
        <w:t>”</w:t>
      </w:r>
      <w:r w:rsidRPr="00EB1978">
        <w:rPr>
          <w:rFonts w:ascii="Times New Roman" w:hAnsi="Times New Roman" w:cs="Times New Roman"/>
          <w:sz w:val="22"/>
          <w:szCs w:val="22"/>
        </w:rPr>
        <w:t xml:space="preserve"> initiative [5].</w:t>
      </w:r>
    </w:p>
    <w:p w14:paraId="6BBCBFF9" w14:textId="4220719A" w:rsidR="00A374D2" w:rsidRDefault="00EB1978" w:rsidP="007B0AB4">
      <w:pPr>
        <w:spacing w:after="120" w:line="480" w:lineRule="auto"/>
        <w:jc w:val="both"/>
        <w:rPr>
          <w:rFonts w:ascii="Times New Roman" w:hAnsi="Times New Roman" w:cs="Times New Roman"/>
          <w:sz w:val="22"/>
          <w:szCs w:val="22"/>
        </w:rPr>
      </w:pPr>
      <w:r w:rsidRPr="00EB1978">
        <w:rPr>
          <w:rFonts w:ascii="Times New Roman" w:hAnsi="Times New Roman" w:cs="Times New Roman"/>
          <w:sz w:val="22"/>
          <w:szCs w:val="22"/>
        </w:rPr>
        <w:t>Currently, the PBOC operates a managed floating exchange rate regime, intervening to maintain the RMB</w:t>
      </w:r>
      <w:r w:rsidR="00501F94">
        <w:rPr>
          <w:rFonts w:ascii="Times New Roman" w:hAnsi="Times New Roman" w:cs="Times New Roman"/>
          <w:sz w:val="22"/>
          <w:szCs w:val="22"/>
        </w:rPr>
        <w:t>’</w:t>
      </w:r>
      <w:r w:rsidRPr="00EB1978">
        <w:rPr>
          <w:rFonts w:ascii="Times New Roman" w:hAnsi="Times New Roman" w:cs="Times New Roman"/>
          <w:sz w:val="22"/>
          <w:szCs w:val="22"/>
        </w:rPr>
        <w:t>s stability against a basket of currencies, primarily the US Dollar [6]. Monetary policy relies on a complex mix of quantitative tools (such as the Required Reserve Ratio) and interest rates (such as the Loan Prime Rate), but lacks a formal, independent inflation targeting framework. Instead, inflation expectations are often implicitly set by municipal governments or broad national targets, which dilutes the central bank</w:t>
      </w:r>
      <w:r w:rsidR="00501F94">
        <w:rPr>
          <w:rFonts w:ascii="Times New Roman" w:hAnsi="Times New Roman" w:cs="Times New Roman"/>
          <w:sz w:val="22"/>
          <w:szCs w:val="22"/>
        </w:rPr>
        <w:t>’</w:t>
      </w:r>
      <w:r w:rsidRPr="00EB1978">
        <w:rPr>
          <w:rFonts w:ascii="Times New Roman" w:hAnsi="Times New Roman" w:cs="Times New Roman"/>
          <w:sz w:val="22"/>
          <w:szCs w:val="22"/>
        </w:rPr>
        <w:t>s ability to manage market confidence effectively.</w:t>
      </w:r>
    </w:p>
    <w:p w14:paraId="2F06BB3D" w14:textId="0DFA7868" w:rsidR="00EB1978" w:rsidRPr="00D0500A" w:rsidRDefault="00D0500A" w:rsidP="00A374D2">
      <w:pPr>
        <w:spacing w:after="120" w:line="480" w:lineRule="auto"/>
        <w:rPr>
          <w:rFonts w:ascii="Times New Roman" w:hAnsi="Times New Roman" w:cs="Times New Roman"/>
          <w:b/>
          <w:bCs/>
          <w:sz w:val="22"/>
          <w:szCs w:val="22"/>
        </w:rPr>
      </w:pPr>
      <w:r w:rsidRPr="00D0500A">
        <w:rPr>
          <w:rFonts w:ascii="Times New Roman" w:hAnsi="Times New Roman" w:cs="Times New Roman" w:hint="eastAsia"/>
          <w:b/>
          <w:bCs/>
          <w:sz w:val="22"/>
          <w:szCs w:val="22"/>
        </w:rPr>
        <w:lastRenderedPageBreak/>
        <w:t>Analysis</w:t>
      </w:r>
    </w:p>
    <w:p w14:paraId="6A8B257A" w14:textId="3086DA81" w:rsidR="00D0500A" w:rsidRDefault="00D85626" w:rsidP="00D85626">
      <w:pPr>
        <w:spacing w:after="120" w:line="480" w:lineRule="auto"/>
        <w:jc w:val="both"/>
        <w:rPr>
          <w:rFonts w:ascii="Times New Roman" w:hAnsi="Times New Roman" w:cs="Times New Roman"/>
          <w:sz w:val="22"/>
          <w:szCs w:val="22"/>
        </w:rPr>
      </w:pPr>
      <w:r w:rsidRPr="00D85626">
        <w:rPr>
          <w:rFonts w:ascii="Times New Roman" w:hAnsi="Times New Roman" w:cs="Times New Roman"/>
          <w:sz w:val="22"/>
          <w:szCs w:val="22"/>
        </w:rPr>
        <w:t>China</w:t>
      </w:r>
      <w:r>
        <w:rPr>
          <w:rFonts w:ascii="Times New Roman" w:hAnsi="Times New Roman" w:cs="Times New Roman"/>
          <w:sz w:val="22"/>
          <w:szCs w:val="22"/>
        </w:rPr>
        <w:t>’</w:t>
      </w:r>
      <w:r w:rsidRPr="00D85626">
        <w:rPr>
          <w:rFonts w:ascii="Times New Roman" w:hAnsi="Times New Roman" w:cs="Times New Roman"/>
          <w:sz w:val="22"/>
          <w:szCs w:val="22"/>
        </w:rPr>
        <w:t>s GDP growth rate has declined steadily from over 10% in the early 2010s to</w:t>
      </w:r>
      <w:r>
        <w:rPr>
          <w:rFonts w:ascii="Times New Roman" w:hAnsi="Times New Roman" w:cs="Times New Roman" w:hint="eastAsia"/>
          <w:sz w:val="22"/>
          <w:szCs w:val="22"/>
        </w:rPr>
        <w:t xml:space="preserve"> </w:t>
      </w:r>
      <w:r w:rsidRPr="00D85626">
        <w:rPr>
          <w:rFonts w:ascii="Times New Roman" w:hAnsi="Times New Roman" w:cs="Times New Roman"/>
          <w:sz w:val="22"/>
          <w:szCs w:val="22"/>
        </w:rPr>
        <w:t>approximately 5% in recent years, with the COVID-19 shock in 2020 and the real estate contraction in</w:t>
      </w:r>
      <w:r>
        <w:rPr>
          <w:rFonts w:ascii="Times New Roman" w:hAnsi="Times New Roman" w:cs="Times New Roman" w:hint="eastAsia"/>
          <w:sz w:val="22"/>
          <w:szCs w:val="22"/>
        </w:rPr>
        <w:t xml:space="preserve"> </w:t>
      </w:r>
      <w:r w:rsidRPr="00D85626">
        <w:rPr>
          <w:rFonts w:ascii="Times New Roman" w:hAnsi="Times New Roman" w:cs="Times New Roman"/>
          <w:sz w:val="22"/>
          <w:szCs w:val="22"/>
        </w:rPr>
        <w:t>2022 representing the most acute disruptions.</w:t>
      </w:r>
      <w:r>
        <w:rPr>
          <w:rFonts w:ascii="Times New Roman" w:hAnsi="Times New Roman" w:cs="Times New Roman" w:hint="eastAsia"/>
          <w:sz w:val="22"/>
          <w:szCs w:val="22"/>
        </w:rPr>
        <w:t xml:space="preserve"> </w:t>
      </w:r>
      <w:r w:rsidR="00D0500A">
        <w:rPr>
          <w:rFonts w:ascii="Times New Roman" w:hAnsi="Times New Roman" w:cs="Times New Roman" w:hint="eastAsia"/>
          <w:sz w:val="22"/>
          <w:szCs w:val="22"/>
        </w:rPr>
        <w:t xml:space="preserve">The current recession is structural, instead of simply the aftermath of COVID, leading by </w:t>
      </w:r>
      <w:r w:rsidR="00D0500A" w:rsidRPr="00D0500A">
        <w:rPr>
          <w:rFonts w:ascii="Times New Roman" w:hAnsi="Times New Roman" w:cs="Times New Roman"/>
          <w:sz w:val="22"/>
          <w:szCs w:val="22"/>
        </w:rPr>
        <w:t xml:space="preserve">the collapse of land fiscal policy system, demographic headwinds, and </w:t>
      </w:r>
      <w:r w:rsidR="00D0500A">
        <w:rPr>
          <w:rFonts w:ascii="Times New Roman" w:hAnsi="Times New Roman" w:cs="Times New Roman" w:hint="eastAsia"/>
          <w:sz w:val="22"/>
          <w:szCs w:val="22"/>
        </w:rPr>
        <w:t xml:space="preserve">industrial </w:t>
      </w:r>
      <w:r w:rsidR="00D0500A">
        <w:rPr>
          <w:rFonts w:ascii="Times New Roman" w:hAnsi="Times New Roman" w:cs="Times New Roman"/>
          <w:sz w:val="22"/>
          <w:szCs w:val="22"/>
        </w:rPr>
        <w:t>structur</w:t>
      </w:r>
      <w:r w:rsidR="00C30647">
        <w:rPr>
          <w:rFonts w:ascii="Times New Roman" w:hAnsi="Times New Roman" w:cs="Times New Roman" w:hint="eastAsia"/>
          <w:sz w:val="22"/>
          <w:szCs w:val="22"/>
        </w:rPr>
        <w:t>e</w:t>
      </w:r>
      <w:r w:rsidR="00D0500A" w:rsidRPr="00D0500A">
        <w:rPr>
          <w:rFonts w:ascii="Times New Roman" w:hAnsi="Times New Roman" w:cs="Times New Roman"/>
          <w:sz w:val="22"/>
          <w:szCs w:val="22"/>
        </w:rPr>
        <w:t xml:space="preserve"> transition</w:t>
      </w:r>
      <w:r w:rsidR="00D0500A">
        <w:rPr>
          <w:rFonts w:ascii="Times New Roman" w:hAnsi="Times New Roman" w:cs="Times New Roman" w:hint="eastAsia"/>
          <w:sz w:val="22"/>
          <w:szCs w:val="22"/>
        </w:rPr>
        <w:t>.</w:t>
      </w:r>
      <w:r w:rsidR="00C30647">
        <w:rPr>
          <w:rFonts w:ascii="Times New Roman" w:hAnsi="Times New Roman" w:cs="Times New Roman" w:hint="eastAsia"/>
          <w:sz w:val="22"/>
          <w:szCs w:val="22"/>
        </w:rPr>
        <w:t xml:space="preserve"> </w:t>
      </w:r>
      <w:r w:rsidR="002A4AAE">
        <w:rPr>
          <w:rFonts w:ascii="Times New Roman" w:hAnsi="Times New Roman" w:cs="Times New Roman"/>
          <w:sz w:val="22"/>
          <w:szCs w:val="22"/>
        </w:rPr>
        <w:t>All</w:t>
      </w:r>
      <w:r w:rsidR="00C30647">
        <w:rPr>
          <w:rFonts w:ascii="Times New Roman" w:hAnsi="Times New Roman" w:cs="Times New Roman" w:hint="eastAsia"/>
          <w:sz w:val="22"/>
          <w:szCs w:val="22"/>
        </w:rPr>
        <w:t xml:space="preserve"> these factors diminish domestic </w:t>
      </w:r>
      <w:r w:rsidR="006A667A">
        <w:rPr>
          <w:rFonts w:ascii="Times New Roman" w:hAnsi="Times New Roman" w:cs="Times New Roman"/>
          <w:sz w:val="22"/>
          <w:szCs w:val="22"/>
        </w:rPr>
        <w:t>demand and</w:t>
      </w:r>
      <w:r w:rsidR="00C30647">
        <w:rPr>
          <w:rFonts w:ascii="Times New Roman" w:hAnsi="Times New Roman" w:cs="Times New Roman" w:hint="eastAsia"/>
          <w:sz w:val="22"/>
          <w:szCs w:val="22"/>
        </w:rPr>
        <w:t xml:space="preserve"> create overcapacity in certain industries.</w:t>
      </w:r>
    </w:p>
    <w:p w14:paraId="312CEAA6" w14:textId="77777777" w:rsidR="0011430B" w:rsidRDefault="00F44779" w:rsidP="0011430B">
      <w:pPr>
        <w:keepNext/>
        <w:spacing w:after="0" w:line="240" w:lineRule="auto"/>
        <w:jc w:val="center"/>
      </w:pPr>
      <w:r>
        <w:rPr>
          <w:noProof/>
        </w:rPr>
        <w:drawing>
          <wp:inline distT="0" distB="0" distL="0" distR="0" wp14:anchorId="60999CE8" wp14:editId="324D9396">
            <wp:extent cx="3494953" cy="1946495"/>
            <wp:effectExtent l="0" t="0" r="0" b="0"/>
            <wp:docPr id="110093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32032" name="Picture 11009320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65373" cy="1985715"/>
                    </a:xfrm>
                    <a:prstGeom prst="rect">
                      <a:avLst/>
                    </a:prstGeom>
                  </pic:spPr>
                </pic:pic>
              </a:graphicData>
            </a:graphic>
          </wp:inline>
        </w:drawing>
      </w:r>
    </w:p>
    <w:p w14:paraId="0D83FA17" w14:textId="02AE7E30" w:rsidR="00F44779" w:rsidRPr="005F307B" w:rsidRDefault="0011430B" w:rsidP="00425DEE">
      <w:pPr>
        <w:pStyle w:val="Caption"/>
        <w:spacing w:after="120" w:line="480" w:lineRule="auto"/>
      </w:pPr>
      <w:r w:rsidRPr="005F307B">
        <w:t xml:space="preserve">Figure </w:t>
      </w:r>
      <w:fldSimple w:instr=" SEQ Figure \* ARABIC ">
        <w:r w:rsidR="00886C65">
          <w:rPr>
            <w:noProof/>
          </w:rPr>
          <w:t>1</w:t>
        </w:r>
      </w:fldSimple>
    </w:p>
    <w:p w14:paraId="1F66670E" w14:textId="7F461414" w:rsidR="00EB1978" w:rsidRPr="002A4AAE" w:rsidRDefault="002A4AAE" w:rsidP="002A4AAE">
      <w:pPr>
        <w:pStyle w:val="ListParagraph"/>
        <w:numPr>
          <w:ilvl w:val="0"/>
          <w:numId w:val="1"/>
        </w:numPr>
        <w:spacing w:after="120" w:line="480" w:lineRule="auto"/>
        <w:jc w:val="both"/>
        <w:rPr>
          <w:rFonts w:ascii="Times New Roman" w:hAnsi="Times New Roman" w:cs="Times New Roman"/>
          <w:sz w:val="22"/>
          <w:szCs w:val="22"/>
        </w:rPr>
      </w:pPr>
      <w:r w:rsidRPr="002A4AAE">
        <w:rPr>
          <w:rFonts w:ascii="Times New Roman" w:hAnsi="Times New Roman" w:cs="Times New Roman"/>
          <w:sz w:val="22"/>
          <w:szCs w:val="22"/>
        </w:rPr>
        <w:t>The Collapse of Land Fiscal Policy and Local Government Debt</w:t>
      </w:r>
    </w:p>
    <w:p w14:paraId="1B0E5F7F" w14:textId="1F9CBAA7" w:rsidR="0046244D" w:rsidRDefault="002A4AAE" w:rsidP="009243E1">
      <w:pPr>
        <w:spacing w:after="120" w:line="480" w:lineRule="auto"/>
        <w:jc w:val="both"/>
        <w:rPr>
          <w:rFonts w:ascii="Times New Roman" w:hAnsi="Times New Roman" w:cs="Times New Roman"/>
          <w:sz w:val="22"/>
          <w:szCs w:val="22"/>
        </w:rPr>
      </w:pPr>
      <w:r w:rsidRPr="002A4AAE">
        <w:rPr>
          <w:rFonts w:ascii="Times New Roman" w:hAnsi="Times New Roman" w:cs="Times New Roman"/>
          <w:sz w:val="22"/>
          <w:szCs w:val="22"/>
        </w:rPr>
        <w:t xml:space="preserve">The implementation of the </w:t>
      </w:r>
      <w:r>
        <w:rPr>
          <w:rFonts w:ascii="Times New Roman" w:hAnsi="Times New Roman" w:cs="Times New Roman"/>
          <w:sz w:val="22"/>
          <w:szCs w:val="22"/>
        </w:rPr>
        <w:t>“</w:t>
      </w:r>
      <w:r w:rsidRPr="002A4AAE">
        <w:rPr>
          <w:rFonts w:ascii="Times New Roman" w:hAnsi="Times New Roman" w:cs="Times New Roman"/>
          <w:sz w:val="22"/>
          <w:szCs w:val="22"/>
        </w:rPr>
        <w:t>Three Red Lines</w:t>
      </w:r>
      <w:r>
        <w:rPr>
          <w:rFonts w:ascii="Times New Roman" w:hAnsi="Times New Roman" w:cs="Times New Roman"/>
          <w:sz w:val="22"/>
          <w:szCs w:val="22"/>
        </w:rPr>
        <w:t>”</w:t>
      </w:r>
      <w:r w:rsidRPr="002A4AAE">
        <w:rPr>
          <w:rFonts w:ascii="Times New Roman" w:hAnsi="Times New Roman" w:cs="Times New Roman"/>
          <w:sz w:val="22"/>
          <w:szCs w:val="22"/>
        </w:rPr>
        <w:t xml:space="preserve"> policy successfully deflated the property bubble, but the collateral damage has been immense. Real estate investment has contracted sharply, plunging by 10.6% in 2024 and a record 17.2% in 2025 [7].</w:t>
      </w:r>
    </w:p>
    <w:p w14:paraId="0800AAA8" w14:textId="77777777" w:rsidR="00A374D2" w:rsidRDefault="00A374D2" w:rsidP="00A374D2">
      <w:pPr>
        <w:keepNext/>
        <w:spacing w:after="0" w:line="240" w:lineRule="auto"/>
        <w:jc w:val="center"/>
      </w:pPr>
      <w:r>
        <w:rPr>
          <w:rFonts w:ascii="Times New Roman" w:hAnsi="Times New Roman" w:cs="Times New Roman"/>
          <w:noProof/>
          <w:sz w:val="22"/>
          <w:szCs w:val="22"/>
        </w:rPr>
        <w:drawing>
          <wp:inline distT="0" distB="0" distL="0" distR="0" wp14:anchorId="5698A665" wp14:editId="1D7FA137">
            <wp:extent cx="3559978" cy="1982709"/>
            <wp:effectExtent l="0" t="0" r="2540" b="0"/>
            <wp:docPr id="526525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525035" name="Picture 5265250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77601" cy="1992524"/>
                    </a:xfrm>
                    <a:prstGeom prst="rect">
                      <a:avLst/>
                    </a:prstGeom>
                  </pic:spPr>
                </pic:pic>
              </a:graphicData>
            </a:graphic>
          </wp:inline>
        </w:drawing>
      </w:r>
    </w:p>
    <w:p w14:paraId="1EAC3FB7" w14:textId="386299F8" w:rsidR="00A374D2" w:rsidRDefault="00A374D2" w:rsidP="00425DEE">
      <w:pPr>
        <w:pStyle w:val="Caption"/>
        <w:spacing w:after="120" w:line="480" w:lineRule="auto"/>
        <w:rPr>
          <w:sz w:val="22"/>
          <w:szCs w:val="22"/>
        </w:rPr>
      </w:pPr>
      <w:r>
        <w:t xml:space="preserve">Figure </w:t>
      </w:r>
      <w:fldSimple w:instr=" SEQ Figure \* ARABIC ">
        <w:r w:rsidR="00886C65">
          <w:rPr>
            <w:noProof/>
          </w:rPr>
          <w:t>2</w:t>
        </w:r>
      </w:fldSimple>
    </w:p>
    <w:p w14:paraId="05670745" w14:textId="3C5EDF60" w:rsidR="005C6B82" w:rsidRDefault="00D450E9" w:rsidP="00EC01E5">
      <w:pPr>
        <w:spacing w:after="120" w:line="480" w:lineRule="auto"/>
        <w:jc w:val="both"/>
        <w:rPr>
          <w:rFonts w:ascii="Times New Roman" w:hAnsi="Times New Roman" w:cs="Times New Roman"/>
          <w:sz w:val="22"/>
          <w:szCs w:val="22"/>
        </w:rPr>
      </w:pPr>
      <w:r w:rsidRPr="00D450E9">
        <w:rPr>
          <w:rFonts w:ascii="Times New Roman" w:hAnsi="Times New Roman" w:cs="Times New Roman"/>
          <w:sz w:val="22"/>
          <w:szCs w:val="22"/>
        </w:rPr>
        <w:lastRenderedPageBreak/>
        <w:t>This collapse has devastated local government finances. Revenue from land sales plummeted, exposing the fragility of the land fiscal policy model. Consequently, local governments have struggled to service their massive LGFV debts, which reached an estimated 60 trillion RMB (approximately 48% of GDP) by 2023 [</w:t>
      </w:r>
      <w:r w:rsidR="0046244D">
        <w:rPr>
          <w:rFonts w:ascii="Times New Roman" w:hAnsi="Times New Roman" w:cs="Times New Roman" w:hint="eastAsia"/>
          <w:sz w:val="22"/>
          <w:szCs w:val="22"/>
        </w:rPr>
        <w:t>8</w:t>
      </w:r>
      <w:r w:rsidRPr="00D450E9">
        <w:rPr>
          <w:rFonts w:ascii="Times New Roman" w:hAnsi="Times New Roman" w:cs="Times New Roman"/>
          <w:sz w:val="22"/>
          <w:szCs w:val="22"/>
        </w:rPr>
        <w:t>]. Total government debt surged to over 88% of GDP in 2024 [</w:t>
      </w:r>
      <w:r w:rsidR="0046244D">
        <w:rPr>
          <w:rFonts w:ascii="Times New Roman" w:hAnsi="Times New Roman" w:cs="Times New Roman" w:hint="eastAsia"/>
          <w:sz w:val="22"/>
          <w:szCs w:val="22"/>
        </w:rPr>
        <w:t>9</w:t>
      </w:r>
      <w:r w:rsidRPr="00D450E9">
        <w:rPr>
          <w:rFonts w:ascii="Times New Roman" w:hAnsi="Times New Roman" w:cs="Times New Roman"/>
          <w:sz w:val="22"/>
          <w:szCs w:val="22"/>
        </w:rPr>
        <w:t>]. The heavy debt burden severely constrains the fiscal space available for local governments to stimulate the economy, shifting the burden of macroeconomic stabilization onto monetary policy.</w:t>
      </w:r>
    </w:p>
    <w:p w14:paraId="0FA29570" w14:textId="77777777" w:rsidR="00276354" w:rsidRDefault="00276354" w:rsidP="00276354">
      <w:pPr>
        <w:pStyle w:val="Caption"/>
        <w:keepNext/>
        <w:spacing w:after="0"/>
      </w:pPr>
      <w:r>
        <w:rPr>
          <w:noProof/>
          <w:sz w:val="22"/>
          <w:szCs w:val="22"/>
        </w:rPr>
        <w:drawing>
          <wp:inline distT="0" distB="0" distL="0" distR="0" wp14:anchorId="630D4B21" wp14:editId="12E97237">
            <wp:extent cx="3600613" cy="2005342"/>
            <wp:effectExtent l="0" t="0" r="0" b="0"/>
            <wp:docPr id="9934083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08395" name="Picture 99340839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21059" cy="2016729"/>
                    </a:xfrm>
                    <a:prstGeom prst="rect">
                      <a:avLst/>
                    </a:prstGeom>
                  </pic:spPr>
                </pic:pic>
              </a:graphicData>
            </a:graphic>
          </wp:inline>
        </w:drawing>
      </w:r>
    </w:p>
    <w:p w14:paraId="1DB1B996" w14:textId="35D947CA" w:rsidR="00276354" w:rsidRDefault="00276354" w:rsidP="00425DEE">
      <w:pPr>
        <w:pStyle w:val="Caption"/>
        <w:spacing w:after="120" w:line="480" w:lineRule="auto"/>
      </w:pPr>
      <w:r>
        <w:t xml:space="preserve">Figure </w:t>
      </w:r>
      <w:fldSimple w:instr=" SEQ Figure \* ARABIC ">
        <w:r w:rsidR="00886C65">
          <w:rPr>
            <w:noProof/>
          </w:rPr>
          <w:t>3</w:t>
        </w:r>
      </w:fldSimple>
    </w:p>
    <w:p w14:paraId="2DD363FC" w14:textId="5AAC43CB" w:rsidR="00D450E9" w:rsidRPr="00276354" w:rsidRDefault="00BF5C7A" w:rsidP="00425DEE">
      <w:pPr>
        <w:pStyle w:val="Caption"/>
        <w:numPr>
          <w:ilvl w:val="0"/>
          <w:numId w:val="1"/>
        </w:numPr>
        <w:spacing w:after="120" w:line="480" w:lineRule="auto"/>
        <w:jc w:val="both"/>
        <w:rPr>
          <w:i w:val="0"/>
          <w:iCs w:val="0"/>
          <w:color w:val="auto"/>
          <w:sz w:val="22"/>
          <w:szCs w:val="22"/>
        </w:rPr>
      </w:pPr>
      <w:r w:rsidRPr="00276354">
        <w:rPr>
          <w:i w:val="0"/>
          <w:iCs w:val="0"/>
          <w:color w:val="auto"/>
          <w:sz w:val="22"/>
          <w:szCs w:val="22"/>
        </w:rPr>
        <w:t>Demographic Headwinds and Weak Domestic Demand</w:t>
      </w:r>
    </w:p>
    <w:p w14:paraId="13D17B40" w14:textId="77777777" w:rsidR="005C6B82" w:rsidRPr="00276354" w:rsidRDefault="00BF5C7A" w:rsidP="00425DEE">
      <w:pPr>
        <w:pStyle w:val="Caption"/>
        <w:spacing w:after="120" w:line="480" w:lineRule="auto"/>
        <w:jc w:val="both"/>
        <w:rPr>
          <w:i w:val="0"/>
          <w:iCs w:val="0"/>
          <w:color w:val="auto"/>
          <w:sz w:val="22"/>
          <w:szCs w:val="22"/>
        </w:rPr>
      </w:pPr>
      <w:r w:rsidRPr="00276354">
        <w:rPr>
          <w:i w:val="0"/>
          <w:iCs w:val="0"/>
          <w:color w:val="auto"/>
          <w:sz w:val="22"/>
          <w:szCs w:val="22"/>
        </w:rPr>
        <w:t>China’s demographic trajectory is exacerbating the demand shortfall. The population declined for the fourth consecutive year in 2025, with the cohort aged 60 and above reaching 323 million, or 23% of the total population [10]. The birth rate has fallen to approximately 6.0 per 1,000 persons [11].</w:t>
      </w:r>
    </w:p>
    <w:p w14:paraId="2697A919" w14:textId="77777777" w:rsidR="00425DEE" w:rsidRDefault="00425DEE" w:rsidP="00425DEE">
      <w:pPr>
        <w:pStyle w:val="Caption"/>
        <w:keepNext/>
        <w:spacing w:after="0"/>
      </w:pPr>
      <w:r>
        <w:rPr>
          <w:noProof/>
          <w:sz w:val="22"/>
          <w:szCs w:val="22"/>
        </w:rPr>
        <w:drawing>
          <wp:inline distT="0" distB="0" distL="0" distR="0" wp14:anchorId="372306C4" wp14:editId="4804632C">
            <wp:extent cx="3418963" cy="1905755"/>
            <wp:effectExtent l="0" t="0" r="0" b="0"/>
            <wp:docPr id="1912346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46649" name="Picture 191234664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29599" cy="1911683"/>
                    </a:xfrm>
                    <a:prstGeom prst="rect">
                      <a:avLst/>
                    </a:prstGeom>
                  </pic:spPr>
                </pic:pic>
              </a:graphicData>
            </a:graphic>
          </wp:inline>
        </w:drawing>
      </w:r>
    </w:p>
    <w:p w14:paraId="3A3088F4" w14:textId="1DFB94D6" w:rsidR="0046244D" w:rsidRPr="00FB6B0A" w:rsidRDefault="00425DEE" w:rsidP="00425DEE">
      <w:pPr>
        <w:pStyle w:val="Caption"/>
        <w:spacing w:after="120" w:line="480" w:lineRule="auto"/>
      </w:pPr>
      <w:r>
        <w:t xml:space="preserve">Figure </w:t>
      </w:r>
      <w:fldSimple w:instr=" SEQ Figure \* ARABIC ">
        <w:r w:rsidR="00886C65">
          <w:rPr>
            <w:noProof/>
          </w:rPr>
          <w:t>4</w:t>
        </w:r>
      </w:fldSimple>
    </w:p>
    <w:p w14:paraId="24D58295" w14:textId="1145FAAC" w:rsidR="009243E1" w:rsidRPr="009243E1" w:rsidRDefault="009243E1" w:rsidP="009243E1">
      <w:pPr>
        <w:spacing w:after="120" w:line="480" w:lineRule="auto"/>
        <w:jc w:val="both"/>
        <w:rPr>
          <w:rFonts w:ascii="Times New Roman" w:hAnsi="Times New Roman" w:cs="Times New Roman"/>
          <w:sz w:val="22"/>
          <w:szCs w:val="22"/>
        </w:rPr>
      </w:pPr>
      <w:r w:rsidRPr="009243E1">
        <w:rPr>
          <w:rFonts w:ascii="Times New Roman" w:hAnsi="Times New Roman" w:cs="Times New Roman"/>
          <w:sz w:val="22"/>
          <w:szCs w:val="22"/>
        </w:rPr>
        <w:lastRenderedPageBreak/>
        <w:t>An aging population inherently consumes less and saves more for retirement and healthcare, structurally depressing domestic demand. Household consumption in China remains exceptionally low by global standards, hovering around 38% of GDP, compared to over 68% in the United States [12]. This structural lack of consumption is a primary driver of the current deflationary environment.</w:t>
      </w:r>
    </w:p>
    <w:p w14:paraId="1353F586" w14:textId="0DAA34FF" w:rsidR="005C6B82" w:rsidRPr="00D16298" w:rsidRDefault="005C6B82" w:rsidP="00D16298">
      <w:pPr>
        <w:pStyle w:val="ListParagraph"/>
        <w:numPr>
          <w:ilvl w:val="0"/>
          <w:numId w:val="1"/>
        </w:numPr>
        <w:spacing w:after="120" w:line="480" w:lineRule="auto"/>
        <w:jc w:val="both"/>
        <w:rPr>
          <w:rFonts w:ascii="Times New Roman" w:hAnsi="Times New Roman" w:cs="Times New Roman"/>
          <w:sz w:val="22"/>
          <w:szCs w:val="22"/>
        </w:rPr>
      </w:pPr>
      <w:r w:rsidRPr="00D16298">
        <w:rPr>
          <w:rFonts w:ascii="Times New Roman" w:hAnsi="Times New Roman" w:cs="Times New Roman"/>
          <w:sz w:val="22"/>
          <w:szCs w:val="22"/>
        </w:rPr>
        <w:t>Industrial Transformation and Deflationary Pressures</w:t>
      </w:r>
    </w:p>
    <w:p w14:paraId="2D744F09" w14:textId="77777777" w:rsidR="005C6B82" w:rsidRDefault="005C6B82" w:rsidP="005C6B82">
      <w:pPr>
        <w:spacing w:after="120" w:line="480" w:lineRule="auto"/>
        <w:jc w:val="both"/>
        <w:rPr>
          <w:rFonts w:ascii="Times New Roman" w:hAnsi="Times New Roman" w:cs="Times New Roman"/>
          <w:sz w:val="22"/>
          <w:szCs w:val="22"/>
        </w:rPr>
      </w:pPr>
      <w:r w:rsidRPr="005C6B82">
        <w:rPr>
          <w:rFonts w:ascii="Times New Roman" w:hAnsi="Times New Roman" w:cs="Times New Roman"/>
          <w:sz w:val="22"/>
          <w:szCs w:val="22"/>
        </w:rPr>
        <w:t>To offset the decline in real estate, China has doubled down on industrial policy, heavily subsidizing high-technology manufacturing, green energy, and electric vehicles. R&amp;D spending reached 2.7% of GDP in 2025 [13]. While this has successfully increased the share of high-tech exports, it has also led to significant overcapacity in certain sectors.</w:t>
      </w:r>
    </w:p>
    <w:p w14:paraId="5FABEDBF" w14:textId="77777777" w:rsidR="00425DEE" w:rsidRDefault="00425DEE" w:rsidP="00425DEE">
      <w:pPr>
        <w:keepNext/>
        <w:spacing w:after="0" w:line="240" w:lineRule="auto"/>
        <w:jc w:val="center"/>
      </w:pPr>
      <w:r>
        <w:rPr>
          <w:rFonts w:ascii="Times New Roman" w:hAnsi="Times New Roman" w:cs="Times New Roman"/>
          <w:noProof/>
          <w:sz w:val="22"/>
          <w:szCs w:val="22"/>
        </w:rPr>
        <w:drawing>
          <wp:inline distT="0" distB="0" distL="0" distR="0" wp14:anchorId="3302211F" wp14:editId="01349209">
            <wp:extent cx="3656995" cy="1928388"/>
            <wp:effectExtent l="0" t="0" r="635" b="0"/>
            <wp:docPr id="20005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366" name="Picture 200053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9078" cy="1934760"/>
                    </a:xfrm>
                    <a:prstGeom prst="rect">
                      <a:avLst/>
                    </a:prstGeom>
                  </pic:spPr>
                </pic:pic>
              </a:graphicData>
            </a:graphic>
          </wp:inline>
        </w:drawing>
      </w:r>
    </w:p>
    <w:p w14:paraId="696ED46B" w14:textId="39791983" w:rsidR="0046244D" w:rsidRPr="009243E1" w:rsidRDefault="00425DEE" w:rsidP="00425DEE">
      <w:pPr>
        <w:pStyle w:val="Caption"/>
        <w:spacing w:after="120" w:line="480" w:lineRule="auto"/>
        <w:rPr>
          <w:sz w:val="22"/>
          <w:szCs w:val="22"/>
        </w:rPr>
      </w:pPr>
      <w:r>
        <w:t xml:space="preserve">Figure </w:t>
      </w:r>
      <w:fldSimple w:instr=" SEQ Figure \* ARABIC ">
        <w:r w:rsidR="00886C65">
          <w:rPr>
            <w:noProof/>
          </w:rPr>
          <w:t>5</w:t>
        </w:r>
      </w:fldSimple>
    </w:p>
    <w:p w14:paraId="59ED54F4" w14:textId="0FB9413E" w:rsidR="0046244D" w:rsidRDefault="005C6B82" w:rsidP="009243E1">
      <w:pPr>
        <w:spacing w:after="120" w:line="480" w:lineRule="auto"/>
        <w:jc w:val="both"/>
        <w:rPr>
          <w:rFonts w:ascii="Times New Roman" w:hAnsi="Times New Roman" w:cs="Times New Roman"/>
          <w:sz w:val="22"/>
          <w:szCs w:val="22"/>
        </w:rPr>
      </w:pPr>
      <w:r w:rsidRPr="005C6B82">
        <w:rPr>
          <w:rFonts w:ascii="Times New Roman" w:hAnsi="Times New Roman" w:cs="Times New Roman"/>
          <w:sz w:val="22"/>
          <w:szCs w:val="22"/>
        </w:rPr>
        <w:t>With domestic demand too weak to absorb this increased production, Chinese firms have engaged in fierce price competition, driving down profit margins and exporting deflation globally. The Producer Price Index (PPI) has been in negative territory for over two years, and the Consumer Price Index (CPI) slipped into deflation in late 2023 and 2024, only marginally recovering to 0.8% in December 2025 [14].</w:t>
      </w:r>
    </w:p>
    <w:p w14:paraId="10B145D6" w14:textId="77777777" w:rsidR="00425DEE" w:rsidRDefault="00425DEE" w:rsidP="00425DEE">
      <w:pPr>
        <w:keepNext/>
        <w:spacing w:after="0" w:line="240" w:lineRule="auto"/>
        <w:jc w:val="center"/>
      </w:pPr>
      <w:r>
        <w:rPr>
          <w:rFonts w:ascii="Times New Roman" w:hAnsi="Times New Roman" w:cs="Times New Roman"/>
          <w:noProof/>
          <w:sz w:val="22"/>
          <w:szCs w:val="22"/>
        </w:rPr>
        <w:lastRenderedPageBreak/>
        <w:drawing>
          <wp:inline distT="0" distB="0" distL="0" distR="0" wp14:anchorId="5B78A310" wp14:editId="5249C496">
            <wp:extent cx="3832916" cy="1896701"/>
            <wp:effectExtent l="0" t="0" r="0" b="8890"/>
            <wp:docPr id="173506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67194" cy="1913663"/>
                    </a:xfrm>
                    <a:prstGeom prst="rect">
                      <a:avLst/>
                    </a:prstGeom>
                    <a:noFill/>
                  </pic:spPr>
                </pic:pic>
              </a:graphicData>
            </a:graphic>
          </wp:inline>
        </w:drawing>
      </w:r>
    </w:p>
    <w:p w14:paraId="50DBEFEE" w14:textId="6C576713" w:rsidR="005C6B82" w:rsidRPr="009243E1" w:rsidRDefault="00425DEE" w:rsidP="00425DEE">
      <w:pPr>
        <w:pStyle w:val="Caption"/>
        <w:spacing w:after="120" w:line="480" w:lineRule="auto"/>
        <w:rPr>
          <w:sz w:val="22"/>
          <w:szCs w:val="22"/>
        </w:rPr>
      </w:pPr>
      <w:r>
        <w:t xml:space="preserve">Figure </w:t>
      </w:r>
      <w:fldSimple w:instr=" SEQ Figure \* ARABIC ">
        <w:r w:rsidR="00886C65">
          <w:rPr>
            <w:noProof/>
          </w:rPr>
          <w:t>6</w:t>
        </w:r>
      </w:fldSimple>
    </w:p>
    <w:p w14:paraId="501B5700" w14:textId="2AC4E96D" w:rsidR="0046244D" w:rsidRDefault="00D16298" w:rsidP="009243E1">
      <w:pPr>
        <w:spacing w:after="120" w:line="480" w:lineRule="auto"/>
        <w:jc w:val="both"/>
        <w:rPr>
          <w:rFonts w:ascii="Times New Roman" w:hAnsi="Times New Roman" w:cs="Times New Roman"/>
          <w:sz w:val="22"/>
          <w:szCs w:val="22"/>
        </w:rPr>
      </w:pPr>
      <w:r w:rsidRPr="00D16298">
        <w:rPr>
          <w:rFonts w:ascii="Times New Roman" w:hAnsi="Times New Roman" w:cs="Times New Roman"/>
          <w:sz w:val="22"/>
          <w:szCs w:val="22"/>
        </w:rPr>
        <w:t>Deflation creates a vicious cycle: consumers delay purchases anticipating lower prices, corporate profits shrink, wages stagnate, and the real burden of debt increases. The current managed float exchange rate, which has kept the RMB relatively weak to support exports, exacerbates this issue by failing to boost domestic purchasing power. Furthermore, the lack of a clear inflation target from the PBOC leaves the market without a credible anchor for future price expectations.</w:t>
      </w:r>
    </w:p>
    <w:p w14:paraId="02DAD87F" w14:textId="77777777" w:rsidR="00B137E9" w:rsidRDefault="00B137E9" w:rsidP="009243E1">
      <w:pPr>
        <w:spacing w:after="120" w:line="480" w:lineRule="auto"/>
        <w:jc w:val="both"/>
        <w:rPr>
          <w:rFonts w:ascii="Times New Roman" w:hAnsi="Times New Roman" w:cs="Times New Roman"/>
          <w:sz w:val="22"/>
          <w:szCs w:val="22"/>
        </w:rPr>
      </w:pPr>
    </w:p>
    <w:p w14:paraId="1160ABC2" w14:textId="6F2170C9" w:rsidR="00D16298" w:rsidRPr="00D16298" w:rsidRDefault="00D16298" w:rsidP="00B137E9">
      <w:pPr>
        <w:spacing w:after="120" w:line="480" w:lineRule="auto"/>
        <w:rPr>
          <w:rFonts w:ascii="Times New Roman" w:hAnsi="Times New Roman" w:cs="Times New Roman"/>
          <w:b/>
          <w:bCs/>
          <w:sz w:val="22"/>
          <w:szCs w:val="22"/>
        </w:rPr>
      </w:pPr>
      <w:r w:rsidRPr="00D16298">
        <w:rPr>
          <w:rFonts w:ascii="Times New Roman" w:hAnsi="Times New Roman" w:cs="Times New Roman" w:hint="eastAsia"/>
          <w:b/>
          <w:bCs/>
          <w:sz w:val="22"/>
          <w:szCs w:val="22"/>
        </w:rPr>
        <w:t>Policy Options</w:t>
      </w:r>
    </w:p>
    <w:p w14:paraId="600678BA" w14:textId="77777777" w:rsidR="00242765" w:rsidRPr="00242765" w:rsidRDefault="00242765" w:rsidP="00242765">
      <w:pPr>
        <w:spacing w:after="120" w:line="480" w:lineRule="auto"/>
        <w:jc w:val="both"/>
        <w:rPr>
          <w:rFonts w:ascii="Times New Roman" w:hAnsi="Times New Roman" w:cs="Times New Roman"/>
          <w:sz w:val="22"/>
          <w:szCs w:val="22"/>
        </w:rPr>
      </w:pPr>
      <w:r w:rsidRPr="00242765">
        <w:rPr>
          <w:rFonts w:ascii="Times New Roman" w:hAnsi="Times New Roman" w:cs="Times New Roman"/>
          <w:sz w:val="22"/>
          <w:szCs w:val="22"/>
        </w:rPr>
        <w:t>To combat structural deflation and transition to a consumption-driven growth model, the PBOC and the central government must consider alternative macroeconomic frameworks.</w:t>
      </w:r>
    </w:p>
    <w:p w14:paraId="73525EF8" w14:textId="0FB1131F" w:rsidR="00242765" w:rsidRPr="002A6EFC" w:rsidRDefault="00242765" w:rsidP="002A6EFC">
      <w:pPr>
        <w:pStyle w:val="ListParagraph"/>
        <w:numPr>
          <w:ilvl w:val="0"/>
          <w:numId w:val="3"/>
        </w:numPr>
        <w:spacing w:after="120" w:line="480" w:lineRule="auto"/>
        <w:jc w:val="both"/>
        <w:rPr>
          <w:rFonts w:ascii="Times New Roman" w:hAnsi="Times New Roman" w:cs="Times New Roman"/>
          <w:sz w:val="22"/>
          <w:szCs w:val="22"/>
        </w:rPr>
      </w:pPr>
      <w:r w:rsidRPr="002A6EFC">
        <w:rPr>
          <w:rFonts w:ascii="Times New Roman" w:hAnsi="Times New Roman" w:cs="Times New Roman"/>
          <w:sz w:val="22"/>
          <w:szCs w:val="22"/>
        </w:rPr>
        <w:t>Aggressive Quantitative Easing and Fiscal Stimulus</w:t>
      </w:r>
    </w:p>
    <w:p w14:paraId="3A124369" w14:textId="77777777" w:rsidR="00242765" w:rsidRPr="00242765" w:rsidRDefault="00242765" w:rsidP="00242765">
      <w:pPr>
        <w:spacing w:after="120" w:line="480" w:lineRule="auto"/>
        <w:jc w:val="both"/>
        <w:rPr>
          <w:rFonts w:ascii="Times New Roman" w:hAnsi="Times New Roman" w:cs="Times New Roman"/>
          <w:sz w:val="22"/>
          <w:szCs w:val="22"/>
        </w:rPr>
      </w:pPr>
      <w:r w:rsidRPr="00242765">
        <w:rPr>
          <w:rFonts w:ascii="Times New Roman" w:hAnsi="Times New Roman" w:cs="Times New Roman"/>
          <w:sz w:val="22"/>
          <w:szCs w:val="22"/>
        </w:rPr>
        <w:t>This approach involves massive PBOC asset purchases and central government borrowing to bail out local governments and stimulate infrastructure spending.</w:t>
      </w:r>
    </w:p>
    <w:p w14:paraId="69B0DB99" w14:textId="1766200B" w:rsidR="00242765" w:rsidRPr="00242765" w:rsidRDefault="00242765" w:rsidP="0054487C">
      <w:pPr>
        <w:spacing w:after="120" w:line="480" w:lineRule="auto"/>
        <w:ind w:firstLine="720"/>
        <w:jc w:val="both"/>
        <w:rPr>
          <w:rFonts w:ascii="Times New Roman" w:hAnsi="Times New Roman" w:cs="Times New Roman"/>
          <w:sz w:val="22"/>
          <w:szCs w:val="22"/>
        </w:rPr>
      </w:pPr>
      <w:r w:rsidRPr="00242765">
        <w:rPr>
          <w:rFonts w:ascii="Times New Roman" w:hAnsi="Times New Roman" w:cs="Times New Roman"/>
          <w:sz w:val="22"/>
          <w:szCs w:val="22"/>
        </w:rPr>
        <w:t>Implications: While this could provide a short-term boost to GDP, it risks reigniting the debt bubble,</w:t>
      </w:r>
      <w:r w:rsidR="0054487C">
        <w:rPr>
          <w:rFonts w:ascii="Times New Roman" w:hAnsi="Times New Roman" w:cs="Times New Roman" w:hint="eastAsia"/>
          <w:sz w:val="22"/>
          <w:szCs w:val="22"/>
        </w:rPr>
        <w:t xml:space="preserve"> </w:t>
      </w:r>
      <w:r w:rsidRPr="00242765">
        <w:rPr>
          <w:rFonts w:ascii="Times New Roman" w:hAnsi="Times New Roman" w:cs="Times New Roman"/>
          <w:sz w:val="22"/>
          <w:szCs w:val="22"/>
        </w:rPr>
        <w:t>exacerbating overcapacity, and delaying necessary structural reforms. It does not address the fundamental issue of weak household consumption.</w:t>
      </w:r>
    </w:p>
    <w:p w14:paraId="40E56F39" w14:textId="6DC945EF" w:rsidR="00242765" w:rsidRPr="002A6EFC" w:rsidRDefault="00242765" w:rsidP="002A6EFC">
      <w:pPr>
        <w:pStyle w:val="ListParagraph"/>
        <w:numPr>
          <w:ilvl w:val="0"/>
          <w:numId w:val="3"/>
        </w:numPr>
        <w:spacing w:after="120" w:line="480" w:lineRule="auto"/>
        <w:jc w:val="both"/>
        <w:rPr>
          <w:rFonts w:ascii="Times New Roman" w:hAnsi="Times New Roman" w:cs="Times New Roman"/>
          <w:sz w:val="22"/>
          <w:szCs w:val="22"/>
        </w:rPr>
      </w:pPr>
      <w:r w:rsidRPr="002A6EFC">
        <w:rPr>
          <w:rFonts w:ascii="Times New Roman" w:hAnsi="Times New Roman" w:cs="Times New Roman"/>
          <w:sz w:val="22"/>
          <w:szCs w:val="22"/>
        </w:rPr>
        <w:t>Free Floating Exchange Rate and Full Capital Account Liberalization</w:t>
      </w:r>
    </w:p>
    <w:p w14:paraId="3CE8B41A" w14:textId="77777777" w:rsidR="00242765" w:rsidRPr="00242765" w:rsidRDefault="00242765" w:rsidP="00242765">
      <w:pPr>
        <w:spacing w:after="120" w:line="480" w:lineRule="auto"/>
        <w:jc w:val="both"/>
        <w:rPr>
          <w:rFonts w:ascii="Times New Roman" w:hAnsi="Times New Roman" w:cs="Times New Roman"/>
          <w:sz w:val="22"/>
          <w:szCs w:val="22"/>
        </w:rPr>
      </w:pPr>
      <w:r w:rsidRPr="00242765">
        <w:rPr>
          <w:rFonts w:ascii="Times New Roman" w:hAnsi="Times New Roman" w:cs="Times New Roman"/>
          <w:sz w:val="22"/>
          <w:szCs w:val="22"/>
        </w:rPr>
        <w:lastRenderedPageBreak/>
        <w:t>This option would allow the market to entirely determine the RMB's value and permit unrestricted capital flows.</w:t>
      </w:r>
    </w:p>
    <w:p w14:paraId="46520D7B" w14:textId="21AE13CE" w:rsidR="00242765" w:rsidRPr="00242765" w:rsidRDefault="00242765" w:rsidP="0054487C">
      <w:pPr>
        <w:spacing w:after="120" w:line="480" w:lineRule="auto"/>
        <w:ind w:firstLine="720"/>
        <w:jc w:val="both"/>
        <w:rPr>
          <w:rFonts w:ascii="Times New Roman" w:hAnsi="Times New Roman" w:cs="Times New Roman"/>
          <w:sz w:val="22"/>
          <w:szCs w:val="22"/>
        </w:rPr>
      </w:pPr>
      <w:r w:rsidRPr="00242765">
        <w:rPr>
          <w:rFonts w:ascii="Times New Roman" w:hAnsi="Times New Roman" w:cs="Times New Roman"/>
          <w:sz w:val="22"/>
          <w:szCs w:val="22"/>
        </w:rPr>
        <w:t xml:space="preserve">Implications: A free float could lead to severe trade turbulence and extreme currency volatility. Given the current </w:t>
      </w:r>
      <w:r w:rsidR="0054487C" w:rsidRPr="00242765">
        <w:rPr>
          <w:rFonts w:ascii="Times New Roman" w:hAnsi="Times New Roman" w:cs="Times New Roman"/>
          <w:sz w:val="22"/>
          <w:szCs w:val="22"/>
        </w:rPr>
        <w:t>low-interest rate</w:t>
      </w:r>
      <w:r w:rsidRPr="00242765">
        <w:rPr>
          <w:rFonts w:ascii="Times New Roman" w:hAnsi="Times New Roman" w:cs="Times New Roman"/>
          <w:sz w:val="22"/>
          <w:szCs w:val="22"/>
        </w:rPr>
        <w:t xml:space="preserve"> environment in China relative to the US, full capital liberalization would likely trigger massive capital flight, destabilizing the domestic financial system and depleting foreign exchange reserves.</w:t>
      </w:r>
    </w:p>
    <w:p w14:paraId="54DBFED3" w14:textId="70990A67" w:rsidR="00242765" w:rsidRPr="002A6EFC" w:rsidRDefault="00242765" w:rsidP="002A6EFC">
      <w:pPr>
        <w:pStyle w:val="ListParagraph"/>
        <w:numPr>
          <w:ilvl w:val="0"/>
          <w:numId w:val="3"/>
        </w:numPr>
        <w:spacing w:after="120" w:line="480" w:lineRule="auto"/>
        <w:jc w:val="both"/>
        <w:rPr>
          <w:rFonts w:ascii="Times New Roman" w:hAnsi="Times New Roman" w:cs="Times New Roman"/>
          <w:sz w:val="22"/>
          <w:szCs w:val="22"/>
        </w:rPr>
      </w:pPr>
      <w:r w:rsidRPr="002A6EFC">
        <w:rPr>
          <w:rFonts w:ascii="Times New Roman" w:hAnsi="Times New Roman" w:cs="Times New Roman"/>
          <w:sz w:val="22"/>
          <w:szCs w:val="22"/>
        </w:rPr>
        <w:t>Crawling Peg Exchange Rate, Inflation Targeting, and Calibrated Capital Controls</w:t>
      </w:r>
    </w:p>
    <w:p w14:paraId="16CBC803" w14:textId="77777777" w:rsidR="00242765" w:rsidRPr="00242765" w:rsidRDefault="00242765" w:rsidP="00242765">
      <w:pPr>
        <w:spacing w:after="120" w:line="480" w:lineRule="auto"/>
        <w:jc w:val="both"/>
        <w:rPr>
          <w:rFonts w:ascii="Times New Roman" w:hAnsi="Times New Roman" w:cs="Times New Roman"/>
          <w:sz w:val="22"/>
          <w:szCs w:val="22"/>
        </w:rPr>
      </w:pPr>
      <w:r w:rsidRPr="00242765">
        <w:rPr>
          <w:rFonts w:ascii="Times New Roman" w:hAnsi="Times New Roman" w:cs="Times New Roman"/>
          <w:sz w:val="22"/>
          <w:szCs w:val="22"/>
        </w:rPr>
        <w:t>This approach involves shifting to a crawling peg exchange rate regime targeting gradual appreciation, formally adopting an inflation target, lowering domestic interest rates, and maintaining capital controls while liberalizing FDI.</w:t>
      </w:r>
    </w:p>
    <w:p w14:paraId="5FB541C3" w14:textId="48F5417A" w:rsidR="00D16298" w:rsidRDefault="00242765" w:rsidP="0054487C">
      <w:pPr>
        <w:spacing w:after="120" w:line="480" w:lineRule="auto"/>
        <w:ind w:firstLine="720"/>
        <w:jc w:val="both"/>
        <w:rPr>
          <w:rFonts w:ascii="Times New Roman" w:hAnsi="Times New Roman" w:cs="Times New Roman"/>
          <w:sz w:val="22"/>
          <w:szCs w:val="22"/>
        </w:rPr>
      </w:pPr>
      <w:r w:rsidRPr="00242765">
        <w:rPr>
          <w:rFonts w:ascii="Times New Roman" w:hAnsi="Times New Roman" w:cs="Times New Roman"/>
          <w:sz w:val="22"/>
          <w:szCs w:val="22"/>
        </w:rPr>
        <w:t>Implications: Gradual appreciation boosts domestic purchasing power, while inflation targeting anchors expectations. Capital controls prevent destabilizing outflows, allowing the PBOC to lower rates independently.</w:t>
      </w:r>
    </w:p>
    <w:p w14:paraId="206E7A18" w14:textId="77777777" w:rsidR="00B137E9" w:rsidRDefault="00B137E9" w:rsidP="00B137E9">
      <w:pPr>
        <w:spacing w:after="120" w:line="480" w:lineRule="auto"/>
        <w:jc w:val="both"/>
        <w:rPr>
          <w:rFonts w:ascii="Times New Roman" w:hAnsi="Times New Roman" w:cs="Times New Roman"/>
          <w:sz w:val="22"/>
          <w:szCs w:val="22"/>
        </w:rPr>
      </w:pPr>
    </w:p>
    <w:p w14:paraId="07AC2489" w14:textId="0C4881AA" w:rsidR="00D16298" w:rsidRPr="00C80533" w:rsidRDefault="00242765" w:rsidP="00B137E9">
      <w:pPr>
        <w:spacing w:after="120" w:line="480" w:lineRule="auto"/>
        <w:rPr>
          <w:rFonts w:ascii="Times New Roman" w:hAnsi="Times New Roman" w:cs="Times New Roman"/>
          <w:b/>
          <w:bCs/>
          <w:sz w:val="22"/>
          <w:szCs w:val="22"/>
        </w:rPr>
      </w:pPr>
      <w:r w:rsidRPr="00C80533">
        <w:rPr>
          <w:rFonts w:ascii="Times New Roman" w:hAnsi="Times New Roman" w:cs="Times New Roman" w:hint="eastAsia"/>
          <w:b/>
          <w:bCs/>
          <w:sz w:val="22"/>
          <w:szCs w:val="22"/>
        </w:rPr>
        <w:t>Recommendation</w:t>
      </w:r>
      <w:r w:rsidR="00C80533" w:rsidRPr="00C80533">
        <w:rPr>
          <w:rFonts w:ascii="Times New Roman" w:hAnsi="Times New Roman" w:cs="Times New Roman" w:hint="eastAsia"/>
          <w:b/>
          <w:bCs/>
          <w:sz w:val="22"/>
          <w:szCs w:val="22"/>
        </w:rPr>
        <w:t>s</w:t>
      </w:r>
    </w:p>
    <w:p w14:paraId="73707D65" w14:textId="27F4AF33" w:rsidR="00242765" w:rsidRPr="00242765" w:rsidRDefault="00242765" w:rsidP="00242765">
      <w:pPr>
        <w:spacing w:after="120" w:line="480" w:lineRule="auto"/>
        <w:jc w:val="both"/>
        <w:rPr>
          <w:rFonts w:ascii="Times New Roman" w:hAnsi="Times New Roman" w:cs="Times New Roman"/>
          <w:sz w:val="22"/>
          <w:szCs w:val="22"/>
        </w:rPr>
      </w:pPr>
      <w:r w:rsidRPr="00242765">
        <w:rPr>
          <w:rFonts w:ascii="Times New Roman" w:hAnsi="Times New Roman" w:cs="Times New Roman"/>
          <w:sz w:val="22"/>
          <w:szCs w:val="22"/>
        </w:rPr>
        <w:t>Based on the analysis of China</w:t>
      </w:r>
      <w:r w:rsidR="00C80533">
        <w:rPr>
          <w:rFonts w:ascii="Times New Roman" w:hAnsi="Times New Roman" w:cs="Times New Roman"/>
          <w:sz w:val="22"/>
          <w:szCs w:val="22"/>
        </w:rPr>
        <w:t>’</w:t>
      </w:r>
      <w:r w:rsidRPr="00242765">
        <w:rPr>
          <w:rFonts w:ascii="Times New Roman" w:hAnsi="Times New Roman" w:cs="Times New Roman"/>
          <w:sz w:val="22"/>
          <w:szCs w:val="22"/>
        </w:rPr>
        <w:t>s structural challenges, Option 3 is the most viable and comprehensive strategy. The PBOC should implement a coordinated package of monetary and exchange rate reforms designed to boost domestic demand, combat deflation, and manage the industrial transition.</w:t>
      </w:r>
    </w:p>
    <w:p w14:paraId="3D877F88" w14:textId="7ACC94B0" w:rsidR="00242765" w:rsidRPr="00C80533" w:rsidRDefault="00242765" w:rsidP="00C80533">
      <w:pPr>
        <w:pStyle w:val="ListParagraph"/>
        <w:numPr>
          <w:ilvl w:val="0"/>
          <w:numId w:val="2"/>
        </w:numPr>
        <w:spacing w:after="120" w:line="480" w:lineRule="auto"/>
        <w:jc w:val="both"/>
        <w:rPr>
          <w:rFonts w:ascii="Times New Roman" w:hAnsi="Times New Roman" w:cs="Times New Roman"/>
          <w:sz w:val="22"/>
          <w:szCs w:val="22"/>
        </w:rPr>
      </w:pPr>
      <w:r w:rsidRPr="00C80533">
        <w:rPr>
          <w:rFonts w:ascii="Times New Roman" w:hAnsi="Times New Roman" w:cs="Times New Roman"/>
          <w:sz w:val="22"/>
          <w:szCs w:val="22"/>
        </w:rPr>
        <w:t>Transition to a Crawling Peg Exchange Rate Regime</w:t>
      </w:r>
    </w:p>
    <w:p w14:paraId="1234575B" w14:textId="1A596EE3" w:rsidR="00242765" w:rsidRPr="00242765" w:rsidRDefault="00242765" w:rsidP="00242765">
      <w:pPr>
        <w:spacing w:after="120" w:line="480" w:lineRule="auto"/>
        <w:jc w:val="both"/>
        <w:rPr>
          <w:rFonts w:ascii="Times New Roman" w:hAnsi="Times New Roman" w:cs="Times New Roman"/>
          <w:sz w:val="22"/>
          <w:szCs w:val="22"/>
        </w:rPr>
      </w:pPr>
      <w:r w:rsidRPr="00242765">
        <w:rPr>
          <w:rFonts w:ascii="Times New Roman" w:hAnsi="Times New Roman" w:cs="Times New Roman"/>
          <w:sz w:val="22"/>
          <w:szCs w:val="22"/>
        </w:rPr>
        <w:t>The PBOC should transition from its current managed float against the USD to a crawling peg system based on a Nominal Effective Exchange Rate (NEER) basket, explicitly modeled after the framework used by the Monetary Authority of Singapore (MAS) [15].</w:t>
      </w:r>
    </w:p>
    <w:p w14:paraId="7D07F474" w14:textId="43E80682" w:rsidR="00242765" w:rsidRPr="00242765" w:rsidRDefault="00242765" w:rsidP="00C80533">
      <w:pPr>
        <w:spacing w:after="120" w:line="480" w:lineRule="auto"/>
        <w:ind w:firstLine="720"/>
        <w:jc w:val="both"/>
        <w:rPr>
          <w:rFonts w:ascii="Times New Roman" w:hAnsi="Times New Roman" w:cs="Times New Roman"/>
          <w:sz w:val="22"/>
          <w:szCs w:val="22"/>
        </w:rPr>
      </w:pPr>
      <w:r w:rsidRPr="00242765">
        <w:rPr>
          <w:rFonts w:ascii="Times New Roman" w:hAnsi="Times New Roman" w:cs="Times New Roman"/>
          <w:sz w:val="22"/>
          <w:szCs w:val="22"/>
        </w:rPr>
        <w:lastRenderedPageBreak/>
        <w:t>Implementation: The PBOC would establish an undisclosed policy band for the RMB NEER. Crucially, the central bank should set the slope of the band to allow for gradual, controlled appreciation of the RMB.</w:t>
      </w:r>
    </w:p>
    <w:p w14:paraId="353A0166" w14:textId="3D078C71" w:rsidR="00242765" w:rsidRPr="00242765" w:rsidRDefault="00242765" w:rsidP="00C80533">
      <w:pPr>
        <w:spacing w:after="120" w:line="480" w:lineRule="auto"/>
        <w:ind w:firstLine="720"/>
        <w:jc w:val="both"/>
        <w:rPr>
          <w:rFonts w:ascii="Times New Roman" w:hAnsi="Times New Roman" w:cs="Times New Roman"/>
          <w:sz w:val="22"/>
          <w:szCs w:val="22"/>
        </w:rPr>
      </w:pPr>
      <w:r w:rsidRPr="00242765">
        <w:rPr>
          <w:rFonts w:ascii="Times New Roman" w:hAnsi="Times New Roman" w:cs="Times New Roman"/>
          <w:sz w:val="22"/>
          <w:szCs w:val="22"/>
        </w:rPr>
        <w:t>Rationale: A gradually appreciating currency increases the purchasing power of Chinese households, making imported goods and commodities cheaper, thereby stimulating domestic consumption. It forces domestic firms to upgrade their productivity rather than relying on cheap currency for export competitiveness. By controlling the pace of appreciation, the PBOC can ensure it aligns with the development of high-tech exporting industries, avoiding the trade turbulence associated with a free float.</w:t>
      </w:r>
    </w:p>
    <w:p w14:paraId="0D547841" w14:textId="5AA7FAD2" w:rsidR="00242765" w:rsidRPr="00C80533" w:rsidRDefault="00242765" w:rsidP="00C80533">
      <w:pPr>
        <w:pStyle w:val="ListParagraph"/>
        <w:numPr>
          <w:ilvl w:val="0"/>
          <w:numId w:val="2"/>
        </w:numPr>
        <w:spacing w:after="120" w:line="480" w:lineRule="auto"/>
        <w:jc w:val="both"/>
        <w:rPr>
          <w:rFonts w:ascii="Times New Roman" w:hAnsi="Times New Roman" w:cs="Times New Roman"/>
          <w:sz w:val="22"/>
          <w:szCs w:val="22"/>
        </w:rPr>
      </w:pPr>
      <w:r w:rsidRPr="00C80533">
        <w:rPr>
          <w:rFonts w:ascii="Times New Roman" w:hAnsi="Times New Roman" w:cs="Times New Roman"/>
          <w:sz w:val="22"/>
          <w:szCs w:val="22"/>
        </w:rPr>
        <w:t>Adopt a Formal Inflation Targeting Framework</w:t>
      </w:r>
    </w:p>
    <w:p w14:paraId="7C96130D" w14:textId="77777777" w:rsidR="00242765" w:rsidRPr="00242765" w:rsidRDefault="00242765" w:rsidP="00242765">
      <w:pPr>
        <w:spacing w:after="120" w:line="480" w:lineRule="auto"/>
        <w:jc w:val="both"/>
        <w:rPr>
          <w:rFonts w:ascii="Times New Roman" w:hAnsi="Times New Roman" w:cs="Times New Roman"/>
          <w:sz w:val="22"/>
          <w:szCs w:val="22"/>
        </w:rPr>
      </w:pPr>
      <w:r w:rsidRPr="00242765">
        <w:rPr>
          <w:rFonts w:ascii="Times New Roman" w:hAnsi="Times New Roman" w:cs="Times New Roman"/>
          <w:sz w:val="22"/>
          <w:szCs w:val="22"/>
        </w:rPr>
        <w:t>The PBOC must be granted the authority to set and communicate a formal, explicit inflation target (e.g., 2.0% to 3.0% CPI growth).</w:t>
      </w:r>
    </w:p>
    <w:p w14:paraId="2465D7D4" w14:textId="383DF9ED" w:rsidR="00242765" w:rsidRPr="00242765" w:rsidRDefault="00242765" w:rsidP="00C80533">
      <w:pPr>
        <w:spacing w:after="120" w:line="480" w:lineRule="auto"/>
        <w:ind w:firstLine="720"/>
        <w:jc w:val="both"/>
        <w:rPr>
          <w:rFonts w:ascii="Times New Roman" w:hAnsi="Times New Roman" w:cs="Times New Roman"/>
          <w:sz w:val="22"/>
          <w:szCs w:val="22"/>
        </w:rPr>
      </w:pPr>
      <w:r w:rsidRPr="00242765">
        <w:rPr>
          <w:rFonts w:ascii="Times New Roman" w:hAnsi="Times New Roman" w:cs="Times New Roman"/>
          <w:sz w:val="22"/>
          <w:szCs w:val="22"/>
        </w:rPr>
        <w:t>Implementation: The PBOC should shift away from relying on municipal governments to set inflation expectations. The central bank must enhance its macro-communication strategy, using forward guidance to signal its commitment to achieving the target.</w:t>
      </w:r>
    </w:p>
    <w:p w14:paraId="7215AE76" w14:textId="599B1808" w:rsidR="00242765" w:rsidRPr="00242765" w:rsidRDefault="00242765" w:rsidP="00C80533">
      <w:pPr>
        <w:spacing w:after="120" w:line="480" w:lineRule="auto"/>
        <w:ind w:firstLine="720"/>
        <w:jc w:val="both"/>
        <w:rPr>
          <w:rFonts w:ascii="Times New Roman" w:hAnsi="Times New Roman" w:cs="Times New Roman"/>
          <w:sz w:val="22"/>
          <w:szCs w:val="22"/>
        </w:rPr>
      </w:pPr>
      <w:r w:rsidRPr="00242765">
        <w:rPr>
          <w:rFonts w:ascii="Times New Roman" w:hAnsi="Times New Roman" w:cs="Times New Roman"/>
          <w:sz w:val="22"/>
          <w:szCs w:val="22"/>
        </w:rPr>
        <w:t>Rationale: In a deflationary environment, anchoring inflation expectations is critical. A credible inflation target gives the PBOC a powerful tool to influence market confidence. When consumers and businesses believe the central bank will successfully engineer moderate inflation, they are incentivized to spend and invest today rather than delay purchases.</w:t>
      </w:r>
    </w:p>
    <w:p w14:paraId="44D2EBE3" w14:textId="47B66DE0" w:rsidR="00242765" w:rsidRPr="00C80533" w:rsidRDefault="00242765" w:rsidP="00C80533">
      <w:pPr>
        <w:pStyle w:val="ListParagraph"/>
        <w:numPr>
          <w:ilvl w:val="0"/>
          <w:numId w:val="2"/>
        </w:numPr>
        <w:spacing w:after="120" w:line="480" w:lineRule="auto"/>
        <w:jc w:val="both"/>
        <w:rPr>
          <w:rFonts w:ascii="Times New Roman" w:hAnsi="Times New Roman" w:cs="Times New Roman"/>
          <w:sz w:val="22"/>
          <w:szCs w:val="22"/>
        </w:rPr>
      </w:pPr>
      <w:r w:rsidRPr="00C80533">
        <w:rPr>
          <w:rFonts w:ascii="Times New Roman" w:hAnsi="Times New Roman" w:cs="Times New Roman"/>
          <w:sz w:val="22"/>
          <w:szCs w:val="22"/>
        </w:rPr>
        <w:t>Implement Calibrated Interest Rate Reductions</w:t>
      </w:r>
    </w:p>
    <w:p w14:paraId="6AB04997" w14:textId="77777777" w:rsidR="00242765" w:rsidRPr="00242765" w:rsidRDefault="00242765" w:rsidP="00242765">
      <w:pPr>
        <w:spacing w:after="120" w:line="480" w:lineRule="auto"/>
        <w:jc w:val="both"/>
        <w:rPr>
          <w:rFonts w:ascii="Times New Roman" w:hAnsi="Times New Roman" w:cs="Times New Roman"/>
          <w:sz w:val="22"/>
          <w:szCs w:val="22"/>
        </w:rPr>
      </w:pPr>
      <w:r w:rsidRPr="00242765">
        <w:rPr>
          <w:rFonts w:ascii="Times New Roman" w:hAnsi="Times New Roman" w:cs="Times New Roman"/>
          <w:sz w:val="22"/>
          <w:szCs w:val="22"/>
        </w:rPr>
        <w:t>To combat the immediate recessionary conditions, the PBOC should continue to lower benchmark interest rates.</w:t>
      </w:r>
    </w:p>
    <w:p w14:paraId="080415CD" w14:textId="471A55C8" w:rsidR="00242765" w:rsidRPr="00242765" w:rsidRDefault="00242765" w:rsidP="00C80533">
      <w:pPr>
        <w:spacing w:after="120" w:line="480" w:lineRule="auto"/>
        <w:ind w:firstLine="720"/>
        <w:jc w:val="both"/>
        <w:rPr>
          <w:rFonts w:ascii="Times New Roman" w:hAnsi="Times New Roman" w:cs="Times New Roman"/>
          <w:sz w:val="22"/>
          <w:szCs w:val="22"/>
        </w:rPr>
      </w:pPr>
      <w:r w:rsidRPr="00242765">
        <w:rPr>
          <w:rFonts w:ascii="Times New Roman" w:hAnsi="Times New Roman" w:cs="Times New Roman"/>
          <w:sz w:val="22"/>
          <w:szCs w:val="22"/>
        </w:rPr>
        <w:t>Implementation: Gradual reductions in the Loan Prime Rate (LPR) and reserve requirement ratios (RRR).</w:t>
      </w:r>
    </w:p>
    <w:p w14:paraId="44E5DC72" w14:textId="071C4039" w:rsidR="00242765" w:rsidRDefault="00242765" w:rsidP="00C80533">
      <w:pPr>
        <w:spacing w:after="120" w:line="480" w:lineRule="auto"/>
        <w:ind w:firstLine="720"/>
        <w:jc w:val="both"/>
        <w:rPr>
          <w:rFonts w:ascii="Times New Roman" w:hAnsi="Times New Roman" w:cs="Times New Roman"/>
          <w:sz w:val="22"/>
          <w:szCs w:val="22"/>
        </w:rPr>
      </w:pPr>
      <w:r w:rsidRPr="00242765">
        <w:rPr>
          <w:rFonts w:ascii="Times New Roman" w:hAnsi="Times New Roman" w:cs="Times New Roman"/>
          <w:sz w:val="22"/>
          <w:szCs w:val="22"/>
        </w:rPr>
        <w:lastRenderedPageBreak/>
        <w:t>Rationale: Lower interest rates directly reduce the debt servicing burden on local governments and LGFVs, providing them with desperately needed fiscal breathing room. At the micro level, Chinese corporations operating on marginal profits due to fierce competition are highly sensitive to interest rates; lower borrowing costs will prevent widespread bankruptcies during the industrial transition.</w:t>
      </w:r>
    </w:p>
    <w:p w14:paraId="49673097" w14:textId="77777777" w:rsidR="00425DEE" w:rsidRDefault="00425DEE" w:rsidP="00425DEE">
      <w:pPr>
        <w:keepNext/>
        <w:spacing w:after="0" w:line="240" w:lineRule="auto"/>
        <w:jc w:val="center"/>
      </w:pPr>
      <w:r>
        <w:rPr>
          <w:rFonts w:ascii="Times New Roman" w:hAnsi="Times New Roman" w:cs="Times New Roman"/>
          <w:noProof/>
          <w:sz w:val="22"/>
          <w:szCs w:val="22"/>
        </w:rPr>
        <w:drawing>
          <wp:inline distT="0" distB="0" distL="0" distR="0" wp14:anchorId="21D157CB" wp14:editId="3482D10B">
            <wp:extent cx="3467687" cy="1932914"/>
            <wp:effectExtent l="0" t="0" r="0" b="0"/>
            <wp:docPr id="19276865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86552" name="Picture 192768655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99483" cy="1950638"/>
                    </a:xfrm>
                    <a:prstGeom prst="rect">
                      <a:avLst/>
                    </a:prstGeom>
                  </pic:spPr>
                </pic:pic>
              </a:graphicData>
            </a:graphic>
          </wp:inline>
        </w:drawing>
      </w:r>
    </w:p>
    <w:p w14:paraId="02AAB5E6" w14:textId="2A9A2237" w:rsidR="00242765" w:rsidRPr="009243E1" w:rsidRDefault="00425DEE" w:rsidP="00425DEE">
      <w:pPr>
        <w:pStyle w:val="Caption"/>
        <w:spacing w:after="120" w:line="480" w:lineRule="auto"/>
        <w:rPr>
          <w:sz w:val="22"/>
          <w:szCs w:val="22"/>
        </w:rPr>
      </w:pPr>
      <w:r>
        <w:t xml:space="preserve">Figure </w:t>
      </w:r>
      <w:fldSimple w:instr=" SEQ Figure \* ARABIC ">
        <w:r w:rsidR="00886C65">
          <w:rPr>
            <w:noProof/>
          </w:rPr>
          <w:t>7</w:t>
        </w:r>
      </w:fldSimple>
    </w:p>
    <w:p w14:paraId="34B880D1" w14:textId="767BF35E" w:rsidR="00242765" w:rsidRPr="00C80533" w:rsidRDefault="00242765" w:rsidP="00C80533">
      <w:pPr>
        <w:pStyle w:val="ListParagraph"/>
        <w:numPr>
          <w:ilvl w:val="0"/>
          <w:numId w:val="2"/>
        </w:numPr>
        <w:spacing w:after="120" w:line="480" w:lineRule="auto"/>
        <w:jc w:val="both"/>
        <w:rPr>
          <w:rFonts w:ascii="Times New Roman" w:hAnsi="Times New Roman" w:cs="Times New Roman"/>
          <w:sz w:val="22"/>
          <w:szCs w:val="22"/>
        </w:rPr>
      </w:pPr>
      <w:r w:rsidRPr="00C80533">
        <w:rPr>
          <w:rFonts w:ascii="Times New Roman" w:hAnsi="Times New Roman" w:cs="Times New Roman"/>
          <w:sz w:val="22"/>
          <w:szCs w:val="22"/>
        </w:rPr>
        <w:t>Maintain Capital Controls but Liberalize FDI</w:t>
      </w:r>
    </w:p>
    <w:p w14:paraId="2532B2BC" w14:textId="77777777" w:rsidR="00242765" w:rsidRPr="00242765" w:rsidRDefault="00242765" w:rsidP="00242765">
      <w:pPr>
        <w:spacing w:after="120" w:line="480" w:lineRule="auto"/>
        <w:jc w:val="both"/>
        <w:rPr>
          <w:rFonts w:ascii="Times New Roman" w:hAnsi="Times New Roman" w:cs="Times New Roman"/>
          <w:sz w:val="22"/>
          <w:szCs w:val="22"/>
        </w:rPr>
      </w:pPr>
      <w:r w:rsidRPr="00242765">
        <w:rPr>
          <w:rFonts w:ascii="Times New Roman" w:hAnsi="Times New Roman" w:cs="Times New Roman"/>
          <w:sz w:val="22"/>
          <w:szCs w:val="22"/>
        </w:rPr>
        <w:t>Capital controls remain a necessary tool for macroeconomic stability, but they must be refined.</w:t>
      </w:r>
    </w:p>
    <w:p w14:paraId="24FFA3DA" w14:textId="106B0B90" w:rsidR="00242765" w:rsidRPr="00242765" w:rsidRDefault="00242765" w:rsidP="00C80533">
      <w:pPr>
        <w:spacing w:after="120" w:line="480" w:lineRule="auto"/>
        <w:ind w:firstLine="720"/>
        <w:jc w:val="both"/>
        <w:rPr>
          <w:rFonts w:ascii="Times New Roman" w:hAnsi="Times New Roman" w:cs="Times New Roman"/>
          <w:sz w:val="22"/>
          <w:szCs w:val="22"/>
        </w:rPr>
      </w:pPr>
      <w:r w:rsidRPr="00242765">
        <w:rPr>
          <w:rFonts w:ascii="Times New Roman" w:hAnsi="Times New Roman" w:cs="Times New Roman"/>
          <w:sz w:val="22"/>
          <w:szCs w:val="22"/>
        </w:rPr>
        <w:t>Implementation: Maintain strict limits on speculative portfolio outflows by domestic residents and corporations. However, reduce restrictions and ownership limits for Foreign Direct Investment (FDI) to near zero in non-strategic sectors.</w:t>
      </w:r>
    </w:p>
    <w:p w14:paraId="57C57674" w14:textId="2E089CE9" w:rsidR="0046244D" w:rsidRDefault="00242765" w:rsidP="00C80533">
      <w:pPr>
        <w:spacing w:after="120" w:line="480" w:lineRule="auto"/>
        <w:ind w:firstLine="720"/>
        <w:jc w:val="both"/>
        <w:rPr>
          <w:rFonts w:ascii="Times New Roman" w:hAnsi="Times New Roman" w:cs="Times New Roman"/>
          <w:sz w:val="22"/>
          <w:szCs w:val="22"/>
        </w:rPr>
      </w:pPr>
      <w:r w:rsidRPr="00242765">
        <w:rPr>
          <w:rFonts w:ascii="Times New Roman" w:hAnsi="Times New Roman" w:cs="Times New Roman"/>
          <w:sz w:val="22"/>
          <w:szCs w:val="22"/>
        </w:rPr>
        <w:t>Rationale: Capital controls provide the PBOC with autonomy to lower domestic interest rates without triggering massive capital flight and currency collapse. However, with inward FDI falling by 77.5% in 2023 to historic lows [16], China needs foreign capital and expertise. Because domestic industries have matured significantly, the need to protect them from foreign competition has diminished. Liberalizing FDI will help offset domestic investment declines.</w:t>
      </w:r>
    </w:p>
    <w:p w14:paraId="033DDD79" w14:textId="77777777" w:rsidR="00886C65" w:rsidRDefault="00425DEE" w:rsidP="00886C65">
      <w:pPr>
        <w:keepNext/>
        <w:spacing w:after="0" w:line="240" w:lineRule="auto"/>
        <w:jc w:val="center"/>
      </w:pPr>
      <w:r>
        <w:rPr>
          <w:rFonts w:ascii="Times New Roman" w:hAnsi="Times New Roman" w:cs="Times New Roman"/>
          <w:noProof/>
          <w:sz w:val="22"/>
          <w:szCs w:val="22"/>
        </w:rPr>
        <w:lastRenderedPageBreak/>
        <w:drawing>
          <wp:inline distT="0" distB="0" distL="0" distR="0" wp14:anchorId="0EB217DC" wp14:editId="0FD6FE56">
            <wp:extent cx="3551847" cy="1978182"/>
            <wp:effectExtent l="0" t="0" r="0" b="3175"/>
            <wp:docPr id="6052450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5084" name="Picture 60524508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75689" cy="1991461"/>
                    </a:xfrm>
                    <a:prstGeom prst="rect">
                      <a:avLst/>
                    </a:prstGeom>
                  </pic:spPr>
                </pic:pic>
              </a:graphicData>
            </a:graphic>
          </wp:inline>
        </w:drawing>
      </w:r>
    </w:p>
    <w:p w14:paraId="04BCA31C" w14:textId="2A9E629A" w:rsidR="00242765" w:rsidRDefault="00886C65" w:rsidP="00886C65">
      <w:pPr>
        <w:pStyle w:val="Caption"/>
        <w:spacing w:after="120" w:line="480" w:lineRule="auto"/>
        <w:rPr>
          <w:sz w:val="22"/>
          <w:szCs w:val="22"/>
        </w:rPr>
      </w:pPr>
      <w:r>
        <w:t xml:space="preserve">Figure </w:t>
      </w:r>
      <w:fldSimple w:instr=" SEQ Figure \* ARABIC ">
        <w:r>
          <w:rPr>
            <w:noProof/>
          </w:rPr>
          <w:t>8</w:t>
        </w:r>
      </w:fldSimple>
    </w:p>
    <w:p w14:paraId="6AFFD108" w14:textId="77777777" w:rsidR="00B137E9" w:rsidRDefault="00B137E9" w:rsidP="00886C65">
      <w:pPr>
        <w:spacing w:after="120" w:line="480" w:lineRule="auto"/>
        <w:rPr>
          <w:rFonts w:ascii="Times New Roman" w:hAnsi="Times New Roman" w:cs="Times New Roman"/>
          <w:b/>
          <w:bCs/>
          <w:sz w:val="22"/>
          <w:szCs w:val="22"/>
        </w:rPr>
      </w:pPr>
    </w:p>
    <w:p w14:paraId="22C4B6B2" w14:textId="45E7DC6B" w:rsidR="00242765" w:rsidRPr="00A93751" w:rsidRDefault="00242765" w:rsidP="00886C65">
      <w:pPr>
        <w:spacing w:after="120" w:line="480" w:lineRule="auto"/>
        <w:rPr>
          <w:rFonts w:ascii="Times New Roman" w:hAnsi="Times New Roman" w:cs="Times New Roman"/>
          <w:b/>
          <w:bCs/>
          <w:sz w:val="22"/>
          <w:szCs w:val="22"/>
        </w:rPr>
      </w:pPr>
      <w:r w:rsidRPr="00A93751">
        <w:rPr>
          <w:rFonts w:ascii="Times New Roman" w:hAnsi="Times New Roman" w:cs="Times New Roman"/>
          <w:b/>
          <w:bCs/>
          <w:sz w:val="22"/>
          <w:szCs w:val="22"/>
        </w:rPr>
        <w:t>Conclusion</w:t>
      </w:r>
    </w:p>
    <w:p w14:paraId="6FA18328" w14:textId="561FC954" w:rsidR="00242765" w:rsidRPr="00242765" w:rsidRDefault="00242765" w:rsidP="00242765">
      <w:pPr>
        <w:spacing w:after="120" w:line="480" w:lineRule="auto"/>
        <w:jc w:val="both"/>
        <w:rPr>
          <w:rFonts w:ascii="Times New Roman" w:hAnsi="Times New Roman" w:cs="Times New Roman"/>
          <w:sz w:val="22"/>
          <w:szCs w:val="22"/>
        </w:rPr>
      </w:pPr>
      <w:r w:rsidRPr="00242765">
        <w:rPr>
          <w:rFonts w:ascii="Times New Roman" w:hAnsi="Times New Roman" w:cs="Times New Roman"/>
          <w:sz w:val="22"/>
          <w:szCs w:val="22"/>
        </w:rPr>
        <w:t>China</w:t>
      </w:r>
      <w:r w:rsidR="004F00DC">
        <w:rPr>
          <w:rFonts w:ascii="Times New Roman" w:hAnsi="Times New Roman" w:cs="Times New Roman"/>
          <w:sz w:val="22"/>
          <w:szCs w:val="22"/>
        </w:rPr>
        <w:t>’</w:t>
      </w:r>
      <w:r w:rsidRPr="00242765">
        <w:rPr>
          <w:rFonts w:ascii="Times New Roman" w:hAnsi="Times New Roman" w:cs="Times New Roman"/>
          <w:sz w:val="22"/>
          <w:szCs w:val="22"/>
        </w:rPr>
        <w:t>s current economic malaise is not merely a cyclical downturn exacerbated by the COVID-19 shock; it is a profound structural recession. The collapse of the land fiscal policy model, combined with severe demographic headwinds, has created a persistent demand deficit and entrenched deflation. While the transition toward high-technology manufacturing is necessary, it cannot single-handedly replace the growth previously generated by the real estate sector without a corresponding increase in domestic consumption.</w:t>
      </w:r>
    </w:p>
    <w:p w14:paraId="3448E262" w14:textId="22319416" w:rsidR="00242765" w:rsidRPr="009243E1" w:rsidRDefault="00242765" w:rsidP="00242765">
      <w:pPr>
        <w:spacing w:after="120" w:line="480" w:lineRule="auto"/>
        <w:jc w:val="both"/>
        <w:rPr>
          <w:rFonts w:ascii="Times New Roman" w:hAnsi="Times New Roman" w:cs="Times New Roman"/>
          <w:sz w:val="22"/>
          <w:szCs w:val="22"/>
        </w:rPr>
      </w:pPr>
      <w:r w:rsidRPr="00242765">
        <w:rPr>
          <w:rFonts w:ascii="Times New Roman" w:hAnsi="Times New Roman" w:cs="Times New Roman"/>
          <w:sz w:val="22"/>
          <w:szCs w:val="22"/>
        </w:rPr>
        <w:t>To navigate this transition, the PBOC must modernize its policy framework. By adopting a Singapore-style crawling peg to facilitate gradual RMB appreciation, formally targeting inflation, lowering interest rates, and refining capital controls, China can boost domestic purchasing power, alleviate local government debt burdens, and anchor market expectations. These reforms are essential to successfully rebalance the Chinese economy away from debt-fueled investment and toward sustainable, consumption-driven growth.</w:t>
      </w:r>
    </w:p>
    <w:p w14:paraId="01F96AFE" w14:textId="08A3B3A1" w:rsidR="00EB1978" w:rsidRDefault="00EB1978" w:rsidP="005F307B">
      <w:pPr>
        <w:pStyle w:val="Caption"/>
      </w:pPr>
      <w:r>
        <w:br w:type="page"/>
      </w:r>
    </w:p>
    <w:p w14:paraId="55DA8840" w14:textId="4D13ACC4" w:rsidR="00EB1978" w:rsidRPr="00EB1978" w:rsidRDefault="00EB1978" w:rsidP="000E4572">
      <w:pPr>
        <w:spacing w:after="120" w:line="480" w:lineRule="auto"/>
        <w:rPr>
          <w:rFonts w:ascii="Times New Roman" w:hAnsi="Times New Roman" w:cs="Times New Roman"/>
          <w:b/>
          <w:bCs/>
          <w:sz w:val="22"/>
          <w:szCs w:val="22"/>
        </w:rPr>
      </w:pPr>
      <w:r w:rsidRPr="00EB1978">
        <w:rPr>
          <w:rFonts w:ascii="Times New Roman" w:hAnsi="Times New Roman" w:cs="Times New Roman" w:hint="eastAsia"/>
          <w:b/>
          <w:bCs/>
          <w:sz w:val="22"/>
          <w:szCs w:val="22"/>
        </w:rPr>
        <w:lastRenderedPageBreak/>
        <w:t>References</w:t>
      </w:r>
    </w:p>
    <w:p w14:paraId="2A3B1D74" w14:textId="47527E27" w:rsidR="00EB1978" w:rsidRP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[1] Rogoff, K., &amp; Yang, Y. (2021). Has China</w:t>
      </w:r>
      <w:r>
        <w:rPr>
          <w:rFonts w:ascii="Times New Roman" w:hAnsi="Times New Roman" w:cs="Times New Roman"/>
          <w:sz w:val="22"/>
          <w:szCs w:val="22"/>
        </w:rPr>
        <w:t>’</w:t>
      </w:r>
      <w:r w:rsidRPr="00EB1978">
        <w:rPr>
          <w:rFonts w:ascii="Times New Roman" w:hAnsi="Times New Roman" w:cs="Times New Roman"/>
          <w:sz w:val="22"/>
          <w:szCs w:val="22"/>
        </w:rPr>
        <w:t>s Housing Production Peaked? National Bureau of Economic Research.</w:t>
      </w:r>
      <w:r w:rsidR="000A24B4">
        <w:rPr>
          <w:rFonts w:ascii="Times New Roman" w:hAnsi="Times New Roman" w:cs="Times New Roman" w:hint="eastAsia"/>
          <w:sz w:val="22"/>
          <w:szCs w:val="22"/>
        </w:rPr>
        <w:t xml:space="preserve"> </w:t>
      </w:r>
      <w:r w:rsidR="000A24B4" w:rsidRPr="000A24B4">
        <w:rPr>
          <w:rFonts w:ascii="Times New Roman" w:hAnsi="Times New Roman" w:cs="Times New Roman"/>
          <w:sz w:val="22"/>
          <w:szCs w:val="22"/>
        </w:rPr>
        <w:t>https://doi.org/10.1111/cwe.12360</w:t>
      </w:r>
    </w:p>
    <w:p w14:paraId="38E5B758" w14:textId="2AC66B14" w:rsidR="00EB1978" w:rsidRP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 xml:space="preserve">[2] </w:t>
      </w:r>
      <w:r w:rsidR="000A24B4" w:rsidRPr="000A24B4">
        <w:rPr>
          <w:rFonts w:ascii="Times New Roman" w:hAnsi="Times New Roman" w:cs="Times New Roman"/>
          <w:sz w:val="22"/>
          <w:szCs w:val="22"/>
        </w:rPr>
        <w:t>What can really cure deflation in China?</w:t>
      </w:r>
      <w:r w:rsidRPr="00EB1978">
        <w:rPr>
          <w:rFonts w:ascii="Times New Roman" w:hAnsi="Times New Roman" w:cs="Times New Roman"/>
          <w:sz w:val="22"/>
          <w:szCs w:val="22"/>
        </w:rPr>
        <w:t xml:space="preserve"> (202</w:t>
      </w:r>
      <w:r w:rsidR="000A24B4">
        <w:rPr>
          <w:rFonts w:ascii="Times New Roman" w:hAnsi="Times New Roman" w:cs="Times New Roman" w:hint="eastAsia"/>
          <w:sz w:val="22"/>
          <w:szCs w:val="22"/>
        </w:rPr>
        <w:t>5</w:t>
      </w:r>
      <w:r w:rsidRPr="00EB1978">
        <w:rPr>
          <w:rFonts w:ascii="Times New Roman" w:hAnsi="Times New Roman" w:cs="Times New Roman"/>
          <w:sz w:val="22"/>
          <w:szCs w:val="22"/>
        </w:rPr>
        <w:t>).</w:t>
      </w:r>
      <w:r w:rsidR="007B0AB4">
        <w:rPr>
          <w:rFonts w:ascii="Times New Roman" w:hAnsi="Times New Roman" w:cs="Times New Roman" w:hint="eastAsia"/>
          <w:sz w:val="22"/>
          <w:szCs w:val="22"/>
        </w:rPr>
        <w:t xml:space="preserve"> </w:t>
      </w:r>
      <w:r w:rsidRPr="00EB1978">
        <w:rPr>
          <w:rFonts w:ascii="Times New Roman" w:hAnsi="Times New Roman" w:cs="Times New Roman"/>
          <w:sz w:val="22"/>
          <w:szCs w:val="22"/>
        </w:rPr>
        <w:t>Financial Times.</w:t>
      </w:r>
      <w:r w:rsidR="000A24B4">
        <w:rPr>
          <w:rFonts w:ascii="Times New Roman" w:hAnsi="Times New Roman" w:cs="Times New Roman" w:hint="eastAsia"/>
          <w:sz w:val="22"/>
          <w:szCs w:val="22"/>
        </w:rPr>
        <w:t xml:space="preserve"> </w:t>
      </w:r>
      <w:r w:rsidR="000A24B4" w:rsidRPr="000A24B4">
        <w:rPr>
          <w:rFonts w:ascii="Times New Roman" w:hAnsi="Times New Roman" w:cs="Times New Roman"/>
          <w:sz w:val="22"/>
          <w:szCs w:val="22"/>
        </w:rPr>
        <w:t>https://www.ft.com/content/6646888d-6555-47aa-a4b8-f36519340c59?syn-25a6b1a6=1</w:t>
      </w:r>
    </w:p>
    <w:p w14:paraId="5FB77A64" w14:textId="5ACA669C" w:rsidR="00EB1978" w:rsidRP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[3]</w:t>
      </w:r>
      <w:r w:rsidR="007B0AB4">
        <w:rPr>
          <w:rFonts w:ascii="Times New Roman" w:hAnsi="Times New Roman" w:cs="Times New Roman" w:hint="eastAsia"/>
          <w:sz w:val="22"/>
          <w:szCs w:val="22"/>
        </w:rPr>
        <w:t xml:space="preserve"> </w:t>
      </w:r>
      <w:r w:rsidR="007B0AB4" w:rsidRPr="007B0AB4">
        <w:rPr>
          <w:rFonts w:ascii="Times New Roman" w:hAnsi="Times New Roman" w:cs="Times New Roman"/>
          <w:sz w:val="22"/>
          <w:szCs w:val="22"/>
        </w:rPr>
        <w:t>From default to delisting of Evergrande, world</w:t>
      </w:r>
      <w:r w:rsidR="007B0AB4">
        <w:rPr>
          <w:rFonts w:ascii="Times New Roman" w:hAnsi="Times New Roman" w:cs="Times New Roman"/>
          <w:sz w:val="22"/>
          <w:szCs w:val="22"/>
        </w:rPr>
        <w:t>’</w:t>
      </w:r>
      <w:r w:rsidR="007B0AB4" w:rsidRPr="007B0AB4">
        <w:rPr>
          <w:rFonts w:ascii="Times New Roman" w:hAnsi="Times New Roman" w:cs="Times New Roman"/>
          <w:sz w:val="22"/>
          <w:szCs w:val="22"/>
        </w:rPr>
        <w:t>s most indebted developer</w:t>
      </w:r>
      <w:r w:rsidR="00501F94">
        <w:rPr>
          <w:rFonts w:ascii="Times New Roman" w:hAnsi="Times New Roman" w:cs="Times New Roman" w:hint="eastAsia"/>
          <w:sz w:val="22"/>
          <w:szCs w:val="22"/>
        </w:rPr>
        <w:t>.</w:t>
      </w:r>
      <w:r w:rsidR="007B0AB4">
        <w:rPr>
          <w:rFonts w:ascii="Times New Roman" w:hAnsi="Times New Roman" w:cs="Times New Roman" w:hint="eastAsia"/>
          <w:sz w:val="22"/>
          <w:szCs w:val="22"/>
        </w:rPr>
        <w:t xml:space="preserve"> (2025). </w:t>
      </w:r>
      <w:r w:rsidR="007B0AB4" w:rsidRPr="007B0AB4">
        <w:rPr>
          <w:rFonts w:ascii="Times New Roman" w:hAnsi="Times New Roman" w:cs="Times New Roman"/>
          <w:sz w:val="22"/>
          <w:szCs w:val="22"/>
        </w:rPr>
        <w:t>Reuters</w:t>
      </w:r>
      <w:r w:rsidR="007B0AB4">
        <w:rPr>
          <w:rFonts w:ascii="Times New Roman" w:hAnsi="Times New Roman" w:cs="Times New Roman" w:hint="eastAsia"/>
          <w:sz w:val="22"/>
          <w:szCs w:val="22"/>
        </w:rPr>
        <w:t xml:space="preserve"> </w:t>
      </w:r>
      <w:r w:rsidR="007B0AB4" w:rsidRPr="007B0AB4">
        <w:rPr>
          <w:rFonts w:ascii="Times New Roman" w:hAnsi="Times New Roman" w:cs="Times New Roman"/>
          <w:sz w:val="22"/>
          <w:szCs w:val="22"/>
        </w:rPr>
        <w:t>https://www.reuters.com/world/china/default-delisting-evergrande-worlds-most-indebted-developer-2025-08-25/</w:t>
      </w:r>
    </w:p>
    <w:p w14:paraId="7CA907D8" w14:textId="4B6E1FE5" w:rsidR="007B0AB4" w:rsidRP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 xml:space="preserve">[4] </w:t>
      </w:r>
      <w:r w:rsidR="007B0AB4" w:rsidRPr="007B0AB4">
        <w:rPr>
          <w:rFonts w:ascii="Times New Roman" w:hAnsi="Times New Roman" w:cs="Times New Roman"/>
          <w:sz w:val="22"/>
          <w:szCs w:val="22"/>
        </w:rPr>
        <w:t>China Demographics: Bad And Getting Worse</w:t>
      </w:r>
      <w:r w:rsidR="00501F94">
        <w:rPr>
          <w:rFonts w:ascii="Times New Roman" w:hAnsi="Times New Roman" w:cs="Times New Roman" w:hint="eastAsia"/>
          <w:sz w:val="22"/>
          <w:szCs w:val="22"/>
        </w:rPr>
        <w:t>.</w:t>
      </w:r>
      <w:r w:rsidRPr="00EB1978">
        <w:rPr>
          <w:rFonts w:ascii="Times New Roman" w:hAnsi="Times New Roman" w:cs="Times New Roman"/>
          <w:sz w:val="22"/>
          <w:szCs w:val="22"/>
        </w:rPr>
        <w:t xml:space="preserve"> (2026).</w:t>
      </w:r>
      <w:r w:rsidR="007B0AB4">
        <w:rPr>
          <w:rFonts w:ascii="Times New Roman" w:hAnsi="Times New Roman" w:cs="Times New Roman" w:hint="eastAsia"/>
          <w:sz w:val="22"/>
          <w:szCs w:val="22"/>
        </w:rPr>
        <w:t xml:space="preserve"> Forbes </w:t>
      </w:r>
      <w:r w:rsidR="007B0AB4" w:rsidRPr="007B0AB4">
        <w:rPr>
          <w:rFonts w:ascii="Times New Roman" w:hAnsi="Times New Roman" w:cs="Times New Roman"/>
          <w:sz w:val="22"/>
          <w:szCs w:val="22"/>
        </w:rPr>
        <w:t>https://www.forbes.com/sites/franklavin/2026/01/21/china-demographics-bad-and-getting-worse/</w:t>
      </w:r>
    </w:p>
    <w:p w14:paraId="3B2E279A" w14:textId="12470267" w:rsidR="00EB1978" w:rsidRP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[5] China</w:t>
      </w:r>
      <w:r w:rsidR="00501F94">
        <w:rPr>
          <w:rFonts w:ascii="Times New Roman" w:hAnsi="Times New Roman" w:cs="Times New Roman"/>
          <w:sz w:val="22"/>
          <w:szCs w:val="22"/>
        </w:rPr>
        <w:t>’</w:t>
      </w:r>
      <w:r w:rsidRPr="00EB1978">
        <w:rPr>
          <w:rFonts w:ascii="Times New Roman" w:hAnsi="Times New Roman" w:cs="Times New Roman"/>
          <w:sz w:val="22"/>
          <w:szCs w:val="22"/>
        </w:rPr>
        <w:t>s High-Tech Drive in 10 Charts. (2026).</w:t>
      </w:r>
      <w:r w:rsidR="00501F94">
        <w:rPr>
          <w:rFonts w:ascii="Times New Roman" w:hAnsi="Times New Roman" w:cs="Times New Roman" w:hint="eastAsia"/>
          <w:sz w:val="22"/>
          <w:szCs w:val="22"/>
        </w:rPr>
        <w:t xml:space="preserve"> </w:t>
      </w:r>
      <w:r w:rsidRPr="00EB1978">
        <w:rPr>
          <w:rFonts w:ascii="Times New Roman" w:hAnsi="Times New Roman" w:cs="Times New Roman"/>
          <w:sz w:val="22"/>
          <w:szCs w:val="22"/>
        </w:rPr>
        <w:t>Center for Strategic and International Studies.</w:t>
      </w:r>
      <w:r w:rsidR="00501F94">
        <w:rPr>
          <w:rFonts w:ascii="Times New Roman" w:hAnsi="Times New Roman" w:cs="Times New Roman" w:hint="eastAsia"/>
          <w:sz w:val="22"/>
          <w:szCs w:val="22"/>
        </w:rPr>
        <w:t xml:space="preserve"> </w:t>
      </w:r>
      <w:r w:rsidR="00501F94" w:rsidRPr="00501F94">
        <w:rPr>
          <w:rFonts w:ascii="Times New Roman" w:hAnsi="Times New Roman" w:cs="Times New Roman"/>
          <w:sz w:val="22"/>
          <w:szCs w:val="22"/>
        </w:rPr>
        <w:t>https://www.csis.org/analysis/chinas-high-tech-drive-10-charts</w:t>
      </w:r>
    </w:p>
    <w:p w14:paraId="74B1FF75" w14:textId="5443B0D6" w:rsidR="00EB1978" w:rsidRP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[6] Evolution of Exchange Rate Management in China. (2019).</w:t>
      </w:r>
      <w:r w:rsidR="00717D85">
        <w:rPr>
          <w:rFonts w:ascii="Times New Roman" w:hAnsi="Times New Roman" w:cs="Times New Roman" w:hint="eastAsia"/>
          <w:sz w:val="22"/>
          <w:szCs w:val="22"/>
        </w:rPr>
        <w:t xml:space="preserve"> </w:t>
      </w:r>
      <w:r w:rsidRPr="00EB1978">
        <w:rPr>
          <w:rFonts w:ascii="Times New Roman" w:hAnsi="Times New Roman" w:cs="Times New Roman"/>
          <w:sz w:val="22"/>
          <w:szCs w:val="22"/>
        </w:rPr>
        <w:t>International Monetary Fund.</w:t>
      </w:r>
      <w:r w:rsidR="00501F94">
        <w:rPr>
          <w:rFonts w:ascii="Times New Roman" w:hAnsi="Times New Roman" w:cs="Times New Roman" w:hint="eastAsia"/>
          <w:sz w:val="22"/>
          <w:szCs w:val="22"/>
        </w:rPr>
        <w:t xml:space="preserve"> </w:t>
      </w:r>
      <w:r w:rsidR="00501F94" w:rsidRPr="00501F94">
        <w:rPr>
          <w:rFonts w:ascii="Times New Roman" w:hAnsi="Times New Roman" w:cs="Times New Roman"/>
          <w:sz w:val="22"/>
          <w:szCs w:val="22"/>
        </w:rPr>
        <w:t>https://www.imf.org/-/media/files/publications/wp/2019/wpiea2019050.pdf</w:t>
      </w:r>
    </w:p>
    <w:p w14:paraId="6BA21467" w14:textId="16E1BB03" w:rsid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[7] China</w:t>
      </w:r>
      <w:r w:rsidR="00467746">
        <w:rPr>
          <w:rFonts w:ascii="Times New Roman" w:hAnsi="Times New Roman" w:cs="Times New Roman"/>
          <w:sz w:val="22"/>
          <w:szCs w:val="22"/>
        </w:rPr>
        <w:t>’</w:t>
      </w:r>
      <w:r w:rsidRPr="00EB1978">
        <w:rPr>
          <w:rFonts w:ascii="Times New Roman" w:hAnsi="Times New Roman" w:cs="Times New Roman"/>
          <w:sz w:val="22"/>
          <w:szCs w:val="22"/>
        </w:rPr>
        <w:t>s property reset comes with a heavy price. (2026).</w:t>
      </w:r>
      <w:r w:rsidR="00717D85">
        <w:rPr>
          <w:rFonts w:ascii="Times New Roman" w:hAnsi="Times New Roman" w:cs="Times New Roman" w:hint="eastAsia"/>
          <w:sz w:val="22"/>
          <w:szCs w:val="22"/>
        </w:rPr>
        <w:t xml:space="preserve"> </w:t>
      </w:r>
      <w:r w:rsidRPr="00EB1978">
        <w:rPr>
          <w:rFonts w:ascii="Times New Roman" w:hAnsi="Times New Roman" w:cs="Times New Roman"/>
          <w:sz w:val="22"/>
          <w:szCs w:val="22"/>
        </w:rPr>
        <w:t>Reuters.</w:t>
      </w:r>
      <w:r w:rsidR="00717D85">
        <w:rPr>
          <w:rFonts w:ascii="Times New Roman" w:hAnsi="Times New Roman" w:cs="Times New Roman" w:hint="eastAsia"/>
          <w:sz w:val="22"/>
          <w:szCs w:val="22"/>
        </w:rPr>
        <w:t xml:space="preserve"> </w:t>
      </w:r>
      <w:r w:rsidR="00467746" w:rsidRPr="00467746">
        <w:rPr>
          <w:rFonts w:ascii="Times New Roman" w:hAnsi="Times New Roman" w:cs="Times New Roman"/>
          <w:sz w:val="22"/>
          <w:szCs w:val="22"/>
        </w:rPr>
        <w:t>https://www.reuters.com/commentary/breakingviews/chinas-property-reset-comes-with-heavy-price-2026-03-09/</w:t>
      </w:r>
    </w:p>
    <w:p w14:paraId="43F598A5" w14:textId="6B8F785C" w:rsidR="00EB1978" w:rsidRP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w:t>
      </w:r>
      <w:r w:rsidR="0046244D">
        <w:rPr>
          <w:rFonts w:ascii="Times New Roman" w:hAnsi="Times New Roman" w:cs="Times New Roman" w:hint="eastAsia"/>
          <w:sz w:val="22"/>
          <w:szCs w:val="22"/>
        </w:rPr>
        <w:t>8</w:t>
      </w:r>
      <w:r w:rsidRPr="00EB1978">
        <w:rPr>
          <w:rFonts w:ascii="Times New Roman" w:hAnsi="Times New Roman" w:cs="Times New Roman"/>
          <w:sz w:val="22"/>
          <w:szCs w:val="22"/>
        </w:rPr>
        <w:t>] Local Government Debt: Adding Pressure to China's Economic Slowdown.</w:t>
      </w:r>
      <w:r w:rsidR="00717D85">
        <w:rPr>
          <w:rFonts w:ascii="Times New Roman" w:hAnsi="Times New Roman" w:cs="Times New Roman" w:hint="eastAsia"/>
          <w:sz w:val="22"/>
          <w:szCs w:val="22"/>
        </w:rPr>
        <w:t xml:space="preserve"> </w:t>
      </w:r>
      <w:r w:rsidRPr="00EB1978">
        <w:rPr>
          <w:rFonts w:ascii="Times New Roman" w:hAnsi="Times New Roman" w:cs="Times New Roman"/>
          <w:sz w:val="22"/>
          <w:szCs w:val="22"/>
        </w:rPr>
        <w:t>Institut Montaigne.</w:t>
      </w:r>
      <w:r w:rsidR="00D450E9">
        <w:rPr>
          <w:rFonts w:ascii="Times New Roman" w:hAnsi="Times New Roman" w:cs="Times New Roman" w:hint="eastAsia"/>
          <w:sz w:val="22"/>
          <w:szCs w:val="22"/>
        </w:rPr>
        <w:t xml:space="preserve"> </w:t>
      </w:r>
      <w:r w:rsidR="00D450E9" w:rsidRPr="00D450E9">
        <w:rPr>
          <w:rFonts w:ascii="Times New Roman" w:hAnsi="Times New Roman" w:cs="Times New Roman"/>
          <w:sz w:val="22"/>
          <w:szCs w:val="22"/>
        </w:rPr>
        <w:t>https://www.institutmontaigne.org/en/expressions/local-governments-debt-china-towards-banking-collapse</w:t>
      </w:r>
    </w:p>
    <w:p w14:paraId="3FEDDB11" w14:textId="2D7E910D" w:rsidR="00EB1978" w:rsidRP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w:t>
      </w:r>
      <w:r w:rsidR="0046244D">
        <w:rPr>
          <w:rFonts w:ascii="Times New Roman" w:hAnsi="Times New Roman" w:cs="Times New Roman" w:hint="eastAsia"/>
          <w:sz w:val="22"/>
          <w:szCs w:val="22"/>
        </w:rPr>
        <w:t>9</w:t>
      </w:r>
      <w:r w:rsidRPr="00EB1978">
        <w:rPr>
          <w:rFonts w:ascii="Times New Roman" w:hAnsi="Times New Roman" w:cs="Times New Roman"/>
          <w:sz w:val="22"/>
          <w:szCs w:val="22"/>
        </w:rPr>
        <w:t>] China Government Debt to GDP.</w:t>
      </w:r>
      <w:r w:rsidR="00717D85">
        <w:rPr>
          <w:rFonts w:ascii="Times New Roman" w:hAnsi="Times New Roman" w:cs="Times New Roman" w:hint="eastAsia"/>
          <w:sz w:val="22"/>
          <w:szCs w:val="22"/>
        </w:rPr>
        <w:t xml:space="preserve"> </w:t>
      </w:r>
      <w:r w:rsidRPr="00EB1978">
        <w:rPr>
          <w:rFonts w:ascii="Times New Roman" w:hAnsi="Times New Roman" w:cs="Times New Roman"/>
          <w:sz w:val="22"/>
          <w:szCs w:val="22"/>
        </w:rPr>
        <w:t>Trading Economics.</w:t>
      </w:r>
      <w:r w:rsidR="00D450E9">
        <w:rPr>
          <w:rFonts w:ascii="Times New Roman" w:hAnsi="Times New Roman" w:cs="Times New Roman" w:hint="eastAsia"/>
          <w:sz w:val="22"/>
          <w:szCs w:val="22"/>
        </w:rPr>
        <w:t xml:space="preserve"> </w:t>
      </w:r>
      <w:r w:rsidR="00D450E9" w:rsidRPr="00D450E9">
        <w:rPr>
          <w:rFonts w:ascii="Times New Roman" w:hAnsi="Times New Roman" w:cs="Times New Roman"/>
          <w:sz w:val="22"/>
          <w:szCs w:val="22"/>
        </w:rPr>
        <w:t>https://tradingeconomics.com/china/government-debt-to-gdp</w:t>
      </w:r>
    </w:p>
    <w:p w14:paraId="22F9EEF3" w14:textId="3B0BE0D3" w:rsidR="00EB1978" w:rsidRP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lastRenderedPageBreak/>
        <w:t>[1</w:t>
      </w:r>
      <w:r w:rsidR="0046244D">
        <w:rPr>
          <w:rFonts w:ascii="Times New Roman" w:hAnsi="Times New Roman" w:cs="Times New Roman" w:hint="eastAsia"/>
          <w:sz w:val="22"/>
          <w:szCs w:val="22"/>
        </w:rPr>
        <w:t>0</w:t>
      </w:r>
      <w:r w:rsidRPr="00EB1978">
        <w:rPr>
          <w:rFonts w:ascii="Times New Roman" w:hAnsi="Times New Roman" w:cs="Times New Roman"/>
          <w:sz w:val="22"/>
          <w:szCs w:val="22"/>
        </w:rPr>
        <w:t>] China birthrate shrinks to lowest on record as policies fail. (2026).</w:t>
      </w:r>
      <w:r w:rsidR="0046244D">
        <w:rPr>
          <w:rFonts w:ascii="Times New Roman" w:hAnsi="Times New Roman" w:cs="Times New Roman" w:hint="eastAsia"/>
          <w:sz w:val="22"/>
          <w:szCs w:val="22"/>
        </w:rPr>
        <w:t xml:space="preserve"> </w:t>
      </w:r>
      <w:r w:rsidRPr="00EB1978">
        <w:rPr>
          <w:rFonts w:ascii="Times New Roman" w:hAnsi="Times New Roman" w:cs="Times New Roman"/>
          <w:sz w:val="22"/>
          <w:szCs w:val="22"/>
        </w:rPr>
        <w:t>CNBC.</w:t>
      </w:r>
      <w:r w:rsidR="00BF5C7A">
        <w:rPr>
          <w:rFonts w:ascii="Times New Roman" w:hAnsi="Times New Roman" w:cs="Times New Roman" w:hint="eastAsia"/>
          <w:sz w:val="22"/>
          <w:szCs w:val="22"/>
        </w:rPr>
        <w:t xml:space="preserve"> </w:t>
      </w:r>
      <w:r w:rsidR="00BF5C7A" w:rsidRPr="00BF5C7A">
        <w:rPr>
          <w:rFonts w:ascii="Times New Roman" w:hAnsi="Times New Roman" w:cs="Times New Roman"/>
          <w:sz w:val="22"/>
          <w:szCs w:val="22"/>
        </w:rPr>
        <w:t>https://www.cnbc.com/2026/01/19/china-birthrate-record-low-aging-population-fertility-crisis.html</w:t>
      </w:r>
    </w:p>
    <w:p w14:paraId="69509699" w14:textId="562E9B68" w:rsid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[1</w:t>
      </w:r>
      <w:r w:rsidR="0046244D">
        <w:rPr>
          <w:rFonts w:ascii="Times New Roman" w:hAnsi="Times New Roman" w:cs="Times New Roman" w:hint="eastAsia"/>
          <w:sz w:val="22"/>
          <w:szCs w:val="22"/>
        </w:rPr>
        <w:t>1</w:t>
      </w:r>
      <w:r w:rsidRPr="00EB1978">
        <w:rPr>
          <w:rFonts w:ascii="Times New Roman" w:hAnsi="Times New Roman" w:cs="Times New Roman"/>
          <w:sz w:val="22"/>
          <w:szCs w:val="22"/>
        </w:rPr>
        <w:t>] China</w:t>
      </w:r>
      <w:r w:rsidR="00BF5C7A">
        <w:rPr>
          <w:rFonts w:ascii="Times New Roman" w:hAnsi="Times New Roman" w:cs="Times New Roman"/>
          <w:sz w:val="22"/>
          <w:szCs w:val="22"/>
        </w:rPr>
        <w:t>’</w:t>
      </w:r>
      <w:r w:rsidRPr="00EB1978">
        <w:rPr>
          <w:rFonts w:ascii="Times New Roman" w:hAnsi="Times New Roman" w:cs="Times New Roman"/>
          <w:sz w:val="22"/>
          <w:szCs w:val="22"/>
        </w:rPr>
        <w:t>s population falls again as birth rate drops to lowest since 1949. (2026).</w:t>
      </w:r>
      <w:r w:rsidR="0046244D">
        <w:rPr>
          <w:rFonts w:ascii="Times New Roman" w:hAnsi="Times New Roman" w:cs="Times New Roman" w:hint="eastAsia"/>
          <w:sz w:val="22"/>
          <w:szCs w:val="22"/>
        </w:rPr>
        <w:t xml:space="preserve"> </w:t>
      </w:r>
      <w:r w:rsidRPr="00EB1978">
        <w:rPr>
          <w:rFonts w:ascii="Times New Roman" w:hAnsi="Times New Roman" w:cs="Times New Roman"/>
          <w:sz w:val="22"/>
          <w:szCs w:val="22"/>
        </w:rPr>
        <w:t>PBS NewsHour.</w:t>
      </w:r>
      <w:r w:rsidR="00BF5C7A">
        <w:rPr>
          <w:rFonts w:ascii="Times New Roman" w:hAnsi="Times New Roman" w:cs="Times New Roman" w:hint="eastAsia"/>
          <w:sz w:val="22"/>
          <w:szCs w:val="22"/>
        </w:rPr>
        <w:t xml:space="preserve"> </w:t>
      </w:r>
      <w:r w:rsidR="00BF5C7A" w:rsidRPr="00BF5C7A">
        <w:rPr>
          <w:rFonts w:ascii="Times New Roman" w:hAnsi="Times New Roman" w:cs="Times New Roman"/>
          <w:sz w:val="22"/>
          <w:szCs w:val="22"/>
        </w:rPr>
        <w:t>https://www.pbs.org/newshour/world/chinas-population-falls-again-as-birth-rate-drops-to-lowest-since-1949</w:t>
      </w:r>
    </w:p>
    <w:p w14:paraId="53AE5FDF" w14:textId="588BD524" w:rsidR="00EB1978" w:rsidRP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[12] World Bank Open Data. Household final consumption expenditure, etc. (% of GDP).</w:t>
      </w:r>
      <w:r w:rsidR="009243E1">
        <w:rPr>
          <w:rFonts w:ascii="Times New Roman" w:hAnsi="Times New Roman" w:cs="Times New Roman" w:hint="eastAsia"/>
          <w:sz w:val="22"/>
          <w:szCs w:val="22"/>
        </w:rPr>
        <w:t xml:space="preserve"> </w:t>
      </w:r>
      <w:r w:rsidR="009243E1" w:rsidRPr="009243E1">
        <w:rPr>
          <w:rFonts w:ascii="Times New Roman" w:hAnsi="Times New Roman" w:cs="Times New Roman"/>
          <w:sz w:val="22"/>
          <w:szCs w:val="22"/>
        </w:rPr>
        <w:t>https://data.worldbank.org/indicator/NE.CON.PRVT.ZS</w:t>
      </w:r>
    </w:p>
    <w:p w14:paraId="63A0C441" w14:textId="4FDEEFC1" w:rsidR="00EB1978" w:rsidRP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 xml:space="preserve">[13] </w:t>
      </w:r>
      <w:r w:rsidR="005C6B82" w:rsidRPr="005C6B82">
        <w:rPr>
          <w:rFonts w:ascii="Times New Roman" w:hAnsi="Times New Roman" w:cs="Times New Roman"/>
          <w:sz w:val="22"/>
          <w:szCs w:val="22"/>
        </w:rPr>
        <w:t>R&amp;D spending growth slows in OECD, surges in China; government support for energy and defence R&amp;D rises sharply</w:t>
      </w:r>
      <w:r w:rsidR="005C6B82">
        <w:rPr>
          <w:rFonts w:ascii="Times New Roman" w:hAnsi="Times New Roman" w:cs="Times New Roman" w:hint="eastAsia"/>
          <w:sz w:val="22"/>
          <w:szCs w:val="22"/>
        </w:rPr>
        <w:t xml:space="preserve">. OECD </w:t>
      </w:r>
      <w:r w:rsidR="005C6B82" w:rsidRPr="005C6B82">
        <w:rPr>
          <w:rFonts w:ascii="Times New Roman" w:hAnsi="Times New Roman" w:cs="Times New Roman"/>
          <w:sz w:val="22"/>
          <w:szCs w:val="22"/>
        </w:rPr>
        <w:t>https://www.oecd.org/en/data/insights/statistical-releases/2025/03/rd-spending-growth-slows-in-oecd-surges-in-china-government-support-for-energy-and-defence-rd-rises-sharply.html</w:t>
      </w:r>
    </w:p>
    <w:p w14:paraId="2995CE14" w14:textId="6CD01B1C" w:rsidR="00EB1978" w:rsidRP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[14] China avoids deflation in 2025 as December CPI hits 34-month high. (2026).</w:t>
      </w:r>
      <w:r w:rsidR="00717D85">
        <w:rPr>
          <w:rFonts w:ascii="Times New Roman" w:hAnsi="Times New Roman" w:cs="Times New Roman" w:hint="eastAsia"/>
          <w:sz w:val="22"/>
          <w:szCs w:val="22"/>
        </w:rPr>
        <w:t xml:space="preserve"> </w:t>
      </w:r>
      <w:r w:rsidRPr="00EB1978">
        <w:rPr>
          <w:rFonts w:ascii="Times New Roman" w:hAnsi="Times New Roman" w:cs="Times New Roman"/>
          <w:sz w:val="22"/>
          <w:szCs w:val="22"/>
        </w:rPr>
        <w:t>ING Think.</w:t>
      </w:r>
      <w:r w:rsidR="005C6B82">
        <w:rPr>
          <w:rFonts w:ascii="Times New Roman" w:hAnsi="Times New Roman" w:cs="Times New Roman" w:hint="eastAsia"/>
          <w:sz w:val="22"/>
          <w:szCs w:val="22"/>
        </w:rPr>
        <w:t xml:space="preserve"> </w:t>
      </w:r>
      <w:r w:rsidR="005C6B82" w:rsidRPr="005C6B82">
        <w:rPr>
          <w:rFonts w:ascii="Times New Roman" w:hAnsi="Times New Roman" w:cs="Times New Roman"/>
          <w:sz w:val="22"/>
          <w:szCs w:val="22"/>
        </w:rPr>
        <w:t>https://think.ing.com/snaps/chinas-escapes-2025-deflation-as-december-cpi-moves-to-34-month-high/</w:t>
      </w:r>
    </w:p>
    <w:p w14:paraId="730F8E49" w14:textId="08D8AAF8" w:rsidR="00EB1978" w:rsidRP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[15] What is MAS</w:t>
      </w:r>
      <w:r w:rsidR="005C6B82">
        <w:rPr>
          <w:rFonts w:ascii="Times New Roman" w:hAnsi="Times New Roman" w:cs="Times New Roman"/>
          <w:sz w:val="22"/>
          <w:szCs w:val="22"/>
        </w:rPr>
        <w:t>’</w:t>
      </w:r>
      <w:r w:rsidRPr="00EB1978">
        <w:rPr>
          <w:rFonts w:ascii="Times New Roman" w:hAnsi="Times New Roman" w:cs="Times New Roman"/>
          <w:sz w:val="22"/>
          <w:szCs w:val="22"/>
        </w:rPr>
        <w:t xml:space="preserve"> monetary policy framework and its rationale?</w:t>
      </w:r>
      <w:r w:rsidR="005C6B82">
        <w:rPr>
          <w:rFonts w:ascii="Times New Roman" w:hAnsi="Times New Roman" w:cs="Times New Roman" w:hint="eastAsia"/>
          <w:sz w:val="22"/>
          <w:szCs w:val="22"/>
        </w:rPr>
        <w:t xml:space="preserve"> </w:t>
      </w:r>
      <w:r w:rsidRPr="00EB1978">
        <w:rPr>
          <w:rFonts w:ascii="Times New Roman" w:hAnsi="Times New Roman" w:cs="Times New Roman"/>
          <w:sz w:val="22"/>
          <w:szCs w:val="22"/>
        </w:rPr>
        <w:t>Monetary Authority of Singapore.</w:t>
      </w:r>
      <w:r w:rsidR="005C6B82">
        <w:rPr>
          <w:rFonts w:ascii="Times New Roman" w:hAnsi="Times New Roman" w:cs="Times New Roman" w:hint="eastAsia"/>
          <w:sz w:val="22"/>
          <w:szCs w:val="22"/>
        </w:rPr>
        <w:t xml:space="preserve"> </w:t>
      </w:r>
      <w:r w:rsidR="005C6B82" w:rsidRPr="005C6B82">
        <w:rPr>
          <w:rFonts w:ascii="Times New Roman" w:hAnsi="Times New Roman" w:cs="Times New Roman"/>
          <w:sz w:val="22"/>
          <w:szCs w:val="22"/>
        </w:rPr>
        <w:t>https://www.mas.gov.sg/monetary-policy/singapores-monetary-policy-framework/faqs/section-2</w:t>
      </w:r>
    </w:p>
    <w:p w14:paraId="36D26920" w14:textId="21319687" w:rsidR="00EB1978" w:rsidRP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[16] China Foreign Direct Investment Historical Data.</w:t>
      </w:r>
      <w:r w:rsidR="005C6B82">
        <w:rPr>
          <w:rFonts w:ascii="Times New Roman" w:hAnsi="Times New Roman" w:cs="Times New Roman" w:hint="eastAsia"/>
          <w:sz w:val="22"/>
          <w:szCs w:val="22"/>
        </w:rPr>
        <w:t xml:space="preserve"> </w:t>
      </w:r>
      <w:r w:rsidRPr="00EB1978">
        <w:rPr>
          <w:rFonts w:ascii="Times New Roman" w:hAnsi="Times New Roman" w:cs="Times New Roman"/>
          <w:sz w:val="22"/>
          <w:szCs w:val="22"/>
        </w:rPr>
        <w:t>Macrotrends.</w:t>
      </w:r>
      <w:r w:rsidR="005C6B82">
        <w:rPr>
          <w:rFonts w:ascii="Times New Roman" w:hAnsi="Times New Roman" w:cs="Times New Roman" w:hint="eastAsia"/>
          <w:sz w:val="22"/>
          <w:szCs w:val="22"/>
        </w:rPr>
        <w:t xml:space="preserve"> </w:t>
      </w:r>
      <w:r w:rsidR="005C6B82" w:rsidRPr="005C6B82">
        <w:rPr>
          <w:rFonts w:ascii="Times New Roman" w:hAnsi="Times New Roman" w:cs="Times New Roman"/>
          <w:sz w:val="22"/>
          <w:szCs w:val="22"/>
        </w:rPr>
        <w:t>https://www.macrotrends.net/global-metrics/countries/chn/china/foreign-direct-investment</w:t>
      </w:r>
    </w:p>
    <w:p w14:paraId="3F83940E" w14:textId="06ACE3C8" w:rsidR="00EB1978" w:rsidRDefault="00EB1978" w:rsidP="007B0AB4">
      <w:pPr>
        <w:spacing w:after="120" w:line="480" w:lineRule="auto"/>
        <w:rPr>
          <w:rFonts w:ascii="Times New Roman" w:hAnsi="Times New Roman" w:cs="Times New Roman"/>
          <w:sz w:val="22"/>
          <w:szCs w:val="22"/>
        </w:rPr>
      </w:pPr>
      <w:r w:rsidRPr="00EB1978">
        <w:rPr>
          <w:rFonts w:ascii="Times New Roman" w:hAnsi="Times New Roman" w:cs="Times New Roman"/>
          <w:sz w:val="22"/>
          <w:szCs w:val="22"/>
        </w:rPr>
        <w:t>[17] Record Chinese Global Surplus Neared $1 Trillion in 2024. (2025).</w:t>
      </w:r>
      <w:r w:rsidR="00717D85">
        <w:rPr>
          <w:rFonts w:ascii="Times New Roman" w:hAnsi="Times New Roman" w:cs="Times New Roman" w:hint="eastAsia"/>
          <w:sz w:val="22"/>
          <w:szCs w:val="22"/>
        </w:rPr>
        <w:t xml:space="preserve"> </w:t>
      </w:r>
      <w:r w:rsidRPr="00EB1978">
        <w:rPr>
          <w:rFonts w:ascii="Times New Roman" w:hAnsi="Times New Roman" w:cs="Times New Roman"/>
          <w:sz w:val="22"/>
          <w:szCs w:val="22"/>
        </w:rPr>
        <w:t>Trade Data Monitor.</w:t>
      </w:r>
      <w:r w:rsidR="005C6B82">
        <w:rPr>
          <w:rFonts w:ascii="Times New Roman" w:hAnsi="Times New Roman" w:cs="Times New Roman" w:hint="eastAsia"/>
          <w:sz w:val="22"/>
          <w:szCs w:val="22"/>
        </w:rPr>
        <w:t xml:space="preserve"> </w:t>
      </w:r>
      <w:r w:rsidR="005C6B82" w:rsidRPr="005C6B82">
        <w:rPr>
          <w:rFonts w:ascii="Times New Roman" w:hAnsi="Times New Roman" w:cs="Times New Roman"/>
          <w:sz w:val="22"/>
          <w:szCs w:val="22"/>
        </w:rPr>
        <w:t>https://tradedatamonitor.com/datanews/record-chinese-global-surplus-neared-1-trillion-in-2024/</w:t>
      </w:r>
    </w:p>
    <w:p w14:paraId="475F91FF" w14:textId="204297AB" w:rsidR="00467746" w:rsidRPr="00482607" w:rsidRDefault="00467746" w:rsidP="007B0AB4">
      <w:pPr>
        <w:spacing w:after="120" w:line="480" w:lineRule="auto"/>
        <w:rPr>
          <w:rFonts w:ascii="Times New Roman" w:hAnsi="Times New Roman" w:cs="Times New Roman"/>
          <w:sz w:val="22"/>
          <w:szCs w:val="22"/>
        </w:rPr>
      </w:pPr>
    </w:p>
    <w:sectPr w:rsidR="00467746" w:rsidRPr="00482607" w:rsidSect="00223E73">
      <w:footerReference w:type="default" r:id="rId16"/>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352CF" w14:textId="77777777" w:rsidR="00933E6C" w:rsidRDefault="00933E6C" w:rsidP="00194450">
      <w:pPr>
        <w:spacing w:after="0" w:line="240" w:lineRule="auto"/>
      </w:pPr>
      <w:r>
        <w:separator/>
      </w:r>
    </w:p>
  </w:endnote>
  <w:endnote w:type="continuationSeparator" w:id="0">
    <w:p w14:paraId="63E31AC6" w14:textId="77777777" w:rsidR="00933E6C" w:rsidRDefault="00933E6C" w:rsidP="00194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7954590"/>
      <w:docPartObj>
        <w:docPartGallery w:val="Page Numbers (Bottom of Page)"/>
        <w:docPartUnique/>
      </w:docPartObj>
    </w:sdtPr>
    <w:sdtEndPr>
      <w:rPr>
        <w:rFonts w:ascii="Times New Roman" w:hAnsi="Times New Roman" w:cs="Times New Roman"/>
        <w:noProof/>
      </w:rPr>
    </w:sdtEndPr>
    <w:sdtContent>
      <w:p w14:paraId="40454B52" w14:textId="40374392" w:rsidR="00CE0B9F" w:rsidRPr="00CE0B9F" w:rsidRDefault="00CE0B9F">
        <w:pPr>
          <w:pStyle w:val="Footer"/>
          <w:jc w:val="center"/>
          <w:rPr>
            <w:rFonts w:ascii="Times New Roman" w:hAnsi="Times New Roman" w:cs="Times New Roman"/>
          </w:rPr>
        </w:pPr>
        <w:r w:rsidRPr="00CE0B9F">
          <w:rPr>
            <w:rFonts w:ascii="Times New Roman" w:hAnsi="Times New Roman" w:cs="Times New Roman"/>
          </w:rPr>
          <w:fldChar w:fldCharType="begin"/>
        </w:r>
        <w:r w:rsidRPr="00CE0B9F">
          <w:rPr>
            <w:rFonts w:ascii="Times New Roman" w:hAnsi="Times New Roman" w:cs="Times New Roman"/>
          </w:rPr>
          <w:instrText xml:space="preserve"> PAGE   \* MERGEFORMAT </w:instrText>
        </w:r>
        <w:r w:rsidRPr="00CE0B9F">
          <w:rPr>
            <w:rFonts w:ascii="Times New Roman" w:hAnsi="Times New Roman" w:cs="Times New Roman"/>
          </w:rPr>
          <w:fldChar w:fldCharType="separate"/>
        </w:r>
        <w:r w:rsidRPr="00CE0B9F">
          <w:rPr>
            <w:rFonts w:ascii="Times New Roman" w:hAnsi="Times New Roman" w:cs="Times New Roman"/>
            <w:noProof/>
          </w:rPr>
          <w:t>2</w:t>
        </w:r>
        <w:r w:rsidRPr="00CE0B9F">
          <w:rPr>
            <w:rFonts w:ascii="Times New Roman" w:hAnsi="Times New Roman" w:cs="Times New Roman"/>
            <w:noProof/>
          </w:rPr>
          <w:fldChar w:fldCharType="end"/>
        </w:r>
      </w:p>
    </w:sdtContent>
  </w:sdt>
  <w:p w14:paraId="02CFE65F" w14:textId="77777777" w:rsidR="00CE0B9F" w:rsidRDefault="00CE0B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20614" w14:textId="77777777" w:rsidR="00933E6C" w:rsidRDefault="00933E6C" w:rsidP="00194450">
      <w:pPr>
        <w:spacing w:after="0" w:line="240" w:lineRule="auto"/>
      </w:pPr>
      <w:r>
        <w:separator/>
      </w:r>
    </w:p>
  </w:footnote>
  <w:footnote w:type="continuationSeparator" w:id="0">
    <w:p w14:paraId="0546B450" w14:textId="77777777" w:rsidR="00933E6C" w:rsidRDefault="00933E6C" w:rsidP="001944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F1846"/>
    <w:multiLevelType w:val="hybridMultilevel"/>
    <w:tmpl w:val="A4920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E94154"/>
    <w:multiLevelType w:val="hybridMultilevel"/>
    <w:tmpl w:val="C3BED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E97CB0"/>
    <w:multiLevelType w:val="hybridMultilevel"/>
    <w:tmpl w:val="ACE45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548809">
    <w:abstractNumId w:val="2"/>
  </w:num>
  <w:num w:numId="2" w16cid:durableId="203757390">
    <w:abstractNumId w:val="0"/>
  </w:num>
  <w:num w:numId="3" w16cid:durableId="4254616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D35"/>
    <w:rsid w:val="00061354"/>
    <w:rsid w:val="000A24B4"/>
    <w:rsid w:val="000E4572"/>
    <w:rsid w:val="00105537"/>
    <w:rsid w:val="0011430B"/>
    <w:rsid w:val="001329C6"/>
    <w:rsid w:val="00180FD5"/>
    <w:rsid w:val="00194450"/>
    <w:rsid w:val="001D010B"/>
    <w:rsid w:val="00223E73"/>
    <w:rsid w:val="00242765"/>
    <w:rsid w:val="00244A81"/>
    <w:rsid w:val="00276354"/>
    <w:rsid w:val="002A4AAE"/>
    <w:rsid w:val="002A6EFC"/>
    <w:rsid w:val="002E6C82"/>
    <w:rsid w:val="0032295B"/>
    <w:rsid w:val="00332B15"/>
    <w:rsid w:val="00356C7C"/>
    <w:rsid w:val="003B54E6"/>
    <w:rsid w:val="00425DEE"/>
    <w:rsid w:val="0046244D"/>
    <w:rsid w:val="00467746"/>
    <w:rsid w:val="00482607"/>
    <w:rsid w:val="004F00DC"/>
    <w:rsid w:val="00501F94"/>
    <w:rsid w:val="0054141F"/>
    <w:rsid w:val="0054487C"/>
    <w:rsid w:val="005C6B82"/>
    <w:rsid w:val="005F307B"/>
    <w:rsid w:val="006A3CB8"/>
    <w:rsid w:val="006A667A"/>
    <w:rsid w:val="00717D85"/>
    <w:rsid w:val="007B0AB4"/>
    <w:rsid w:val="00886C65"/>
    <w:rsid w:val="00915931"/>
    <w:rsid w:val="009243E1"/>
    <w:rsid w:val="00933E6C"/>
    <w:rsid w:val="00A374D2"/>
    <w:rsid w:val="00A93751"/>
    <w:rsid w:val="00AE5E8A"/>
    <w:rsid w:val="00B137E9"/>
    <w:rsid w:val="00BF5C7A"/>
    <w:rsid w:val="00C30647"/>
    <w:rsid w:val="00C60D82"/>
    <w:rsid w:val="00C80533"/>
    <w:rsid w:val="00CE0B9F"/>
    <w:rsid w:val="00D0500A"/>
    <w:rsid w:val="00D16298"/>
    <w:rsid w:val="00D450E9"/>
    <w:rsid w:val="00D85626"/>
    <w:rsid w:val="00E12D35"/>
    <w:rsid w:val="00EB1978"/>
    <w:rsid w:val="00EB5A26"/>
    <w:rsid w:val="00EC01E5"/>
    <w:rsid w:val="00F44779"/>
    <w:rsid w:val="00FB6B0A"/>
    <w:rsid w:val="00FE6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97424"/>
  <w15:chartTrackingRefBased/>
  <w15:docId w15:val="{5C247B4D-E4C4-46B2-A556-C72CC99E5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2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D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D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D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D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2D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D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D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D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D35"/>
    <w:rPr>
      <w:rFonts w:eastAsiaTheme="majorEastAsia" w:cstheme="majorBidi"/>
      <w:color w:val="272727" w:themeColor="text1" w:themeTint="D8"/>
    </w:rPr>
  </w:style>
  <w:style w:type="paragraph" w:styleId="Title">
    <w:name w:val="Title"/>
    <w:basedOn w:val="Normal"/>
    <w:next w:val="Normal"/>
    <w:link w:val="TitleChar"/>
    <w:uiPriority w:val="10"/>
    <w:qFormat/>
    <w:rsid w:val="00E12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D35"/>
    <w:pPr>
      <w:spacing w:before="160"/>
      <w:jc w:val="center"/>
    </w:pPr>
    <w:rPr>
      <w:i/>
      <w:iCs/>
      <w:color w:val="404040" w:themeColor="text1" w:themeTint="BF"/>
    </w:rPr>
  </w:style>
  <w:style w:type="character" w:customStyle="1" w:styleId="QuoteChar">
    <w:name w:val="Quote Char"/>
    <w:basedOn w:val="DefaultParagraphFont"/>
    <w:link w:val="Quote"/>
    <w:uiPriority w:val="29"/>
    <w:rsid w:val="00E12D35"/>
    <w:rPr>
      <w:i/>
      <w:iCs/>
      <w:color w:val="404040" w:themeColor="text1" w:themeTint="BF"/>
    </w:rPr>
  </w:style>
  <w:style w:type="paragraph" w:styleId="ListParagraph">
    <w:name w:val="List Paragraph"/>
    <w:basedOn w:val="Normal"/>
    <w:uiPriority w:val="34"/>
    <w:qFormat/>
    <w:rsid w:val="00E12D35"/>
    <w:pPr>
      <w:ind w:left="720"/>
      <w:contextualSpacing/>
    </w:pPr>
  </w:style>
  <w:style w:type="character" w:styleId="IntenseEmphasis">
    <w:name w:val="Intense Emphasis"/>
    <w:basedOn w:val="DefaultParagraphFont"/>
    <w:uiPriority w:val="21"/>
    <w:qFormat/>
    <w:rsid w:val="00E12D35"/>
    <w:rPr>
      <w:i/>
      <w:iCs/>
      <w:color w:val="0F4761" w:themeColor="accent1" w:themeShade="BF"/>
    </w:rPr>
  </w:style>
  <w:style w:type="paragraph" w:styleId="IntenseQuote">
    <w:name w:val="Intense Quote"/>
    <w:basedOn w:val="Normal"/>
    <w:next w:val="Normal"/>
    <w:link w:val="IntenseQuoteChar"/>
    <w:uiPriority w:val="30"/>
    <w:qFormat/>
    <w:rsid w:val="00E12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D35"/>
    <w:rPr>
      <w:i/>
      <w:iCs/>
      <w:color w:val="0F4761" w:themeColor="accent1" w:themeShade="BF"/>
    </w:rPr>
  </w:style>
  <w:style w:type="character" w:styleId="IntenseReference">
    <w:name w:val="Intense Reference"/>
    <w:basedOn w:val="DefaultParagraphFont"/>
    <w:uiPriority w:val="32"/>
    <w:qFormat/>
    <w:rsid w:val="00E12D35"/>
    <w:rPr>
      <w:b/>
      <w:bCs/>
      <w:smallCaps/>
      <w:color w:val="0F4761" w:themeColor="accent1" w:themeShade="BF"/>
      <w:spacing w:val="5"/>
    </w:rPr>
  </w:style>
  <w:style w:type="character" w:styleId="Hyperlink">
    <w:name w:val="Hyperlink"/>
    <w:basedOn w:val="DefaultParagraphFont"/>
    <w:uiPriority w:val="99"/>
    <w:unhideWhenUsed/>
    <w:rsid w:val="000A24B4"/>
    <w:rPr>
      <w:color w:val="467886" w:themeColor="hyperlink"/>
      <w:u w:val="single"/>
    </w:rPr>
  </w:style>
  <w:style w:type="character" w:styleId="UnresolvedMention">
    <w:name w:val="Unresolved Mention"/>
    <w:basedOn w:val="DefaultParagraphFont"/>
    <w:uiPriority w:val="99"/>
    <w:semiHidden/>
    <w:unhideWhenUsed/>
    <w:rsid w:val="000A24B4"/>
    <w:rPr>
      <w:color w:val="605E5C"/>
      <w:shd w:val="clear" w:color="auto" w:fill="E1DFDD"/>
    </w:rPr>
  </w:style>
  <w:style w:type="paragraph" w:styleId="Caption">
    <w:name w:val="caption"/>
    <w:basedOn w:val="Normal"/>
    <w:next w:val="Normal"/>
    <w:uiPriority w:val="35"/>
    <w:unhideWhenUsed/>
    <w:qFormat/>
    <w:rsid w:val="005F307B"/>
    <w:pPr>
      <w:spacing w:after="200" w:line="240" w:lineRule="auto"/>
      <w:jc w:val="center"/>
    </w:pPr>
    <w:rPr>
      <w:rFonts w:ascii="Times New Roman" w:hAnsi="Times New Roman" w:cs="Times New Roman"/>
      <w:i/>
      <w:iCs/>
      <w:color w:val="000000" w:themeColor="text1"/>
      <w:sz w:val="18"/>
      <w:szCs w:val="18"/>
    </w:rPr>
  </w:style>
  <w:style w:type="paragraph" w:styleId="FootnoteText">
    <w:name w:val="footnote text"/>
    <w:basedOn w:val="Normal"/>
    <w:link w:val="FootnoteTextChar"/>
    <w:uiPriority w:val="99"/>
    <w:semiHidden/>
    <w:unhideWhenUsed/>
    <w:rsid w:val="0019445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4450"/>
    <w:rPr>
      <w:sz w:val="20"/>
      <w:szCs w:val="20"/>
    </w:rPr>
  </w:style>
  <w:style w:type="character" w:styleId="FootnoteReference">
    <w:name w:val="footnote reference"/>
    <w:basedOn w:val="DefaultParagraphFont"/>
    <w:uiPriority w:val="99"/>
    <w:semiHidden/>
    <w:unhideWhenUsed/>
    <w:rsid w:val="00194450"/>
    <w:rPr>
      <w:vertAlign w:val="superscript"/>
    </w:rPr>
  </w:style>
  <w:style w:type="paragraph" w:styleId="Header">
    <w:name w:val="header"/>
    <w:basedOn w:val="Normal"/>
    <w:link w:val="HeaderChar"/>
    <w:uiPriority w:val="99"/>
    <w:unhideWhenUsed/>
    <w:rsid w:val="00CE0B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B9F"/>
  </w:style>
  <w:style w:type="paragraph" w:styleId="Footer">
    <w:name w:val="footer"/>
    <w:basedOn w:val="Normal"/>
    <w:link w:val="FooterChar"/>
    <w:uiPriority w:val="99"/>
    <w:unhideWhenUsed/>
    <w:rsid w:val="00CE0B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B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185C8F-9B8E-49D7-BFC2-25E1D6150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12</Pages>
  <Words>2514</Words>
  <Characters>14332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YIFEI YANG</dc:creator>
  <cp:keywords/>
  <dc:description/>
  <cp:lastModifiedBy>YIFEI YANG</cp:lastModifiedBy>
  <cp:revision>43</cp:revision>
  <dcterms:created xsi:type="dcterms:W3CDTF">2026-05-02T18:27:00Z</dcterms:created>
  <dcterms:modified xsi:type="dcterms:W3CDTF">2026-08-14T08:54:00Z</dcterms:modified>
</cp:coreProperties>
</file>