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D29CF" w14:textId="77777777" w:rsidR="003B48E4" w:rsidRDefault="003B48E4" w:rsidP="003B48E4">
      <w:r>
        <w:t>Question. Which government employees are most vulnerable to layoffs, and how does vulnerability vary across departments and income levels?</w:t>
      </w:r>
    </w:p>
    <w:p w14:paraId="7009A876" w14:textId="77777777" w:rsidR="003B48E4" w:rsidRDefault="003B48E4" w:rsidP="003B48E4"/>
    <w:p w14:paraId="3D90B4E6" w14:textId="77777777" w:rsidR="003B48E4" w:rsidRDefault="003B48E4" w:rsidP="003B48E4">
      <w:r>
        <w:t>Approach. I analyse San Francisco public employee compensation data using departmental comparisons, salary-ratio clustering, and regression models to examine how compensation structures and organizational type shape resilience to layoffs.</w:t>
      </w:r>
    </w:p>
    <w:p w14:paraId="7378A31C" w14:textId="77777777" w:rsidR="003B48E4" w:rsidRDefault="003B48E4" w:rsidP="003B48E4"/>
    <w:p w14:paraId="593E76C5" w14:textId="69294EE2" w:rsidR="003B48E4" w:rsidRDefault="003B48E4" w:rsidP="003B48E4">
      <w:r>
        <w:t>Coding: Python</w:t>
      </w:r>
    </w:p>
    <w:p w14:paraId="0044681C" w14:textId="77777777" w:rsidR="003B48E4" w:rsidRDefault="003B48E4" w:rsidP="003B48E4"/>
    <w:p w14:paraId="0A5B2235" w14:textId="761654EA" w:rsidR="000825A2" w:rsidRDefault="003B48E4" w:rsidP="003B48E4">
      <w:r>
        <w:t>Contribution. The project suggests that vulnerability is unevenly distributed: employees in certain departments and lower-income groups are less resilient to layoffs, highlighting both structural and economic disparities in government workforce cuts.</w:t>
      </w:r>
    </w:p>
    <w:sectPr w:rsidR="00082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5A2"/>
    <w:rsid w:val="000825A2"/>
    <w:rsid w:val="003B48E4"/>
    <w:rsid w:val="00ED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07C23"/>
  <w15:chartTrackingRefBased/>
  <w15:docId w15:val="{AD01B180-C4C4-4C67-91EE-7069D1A84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5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YIFEI YANG</dc:creator>
  <cp:keywords/>
  <dc:description/>
  <cp:lastModifiedBy>YIFEI YANG</cp:lastModifiedBy>
  <cp:revision>2</cp:revision>
  <dcterms:created xsi:type="dcterms:W3CDTF">2026-08-14T02:02:00Z</dcterms:created>
  <dcterms:modified xsi:type="dcterms:W3CDTF">2026-08-14T02:06:00Z</dcterms:modified>
</cp:coreProperties>
</file>