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A523" w14:textId="64765587" w:rsidR="002F6C28" w:rsidRDefault="002F6C28" w:rsidP="00ED4FA9">
      <w:r>
        <w:t>Understanding effect sizes in context</w:t>
      </w:r>
    </w:p>
    <w:p w14:paraId="70745738" w14:textId="77777777" w:rsidR="002F6C28" w:rsidRDefault="002F6C28" w:rsidP="00ED4FA9"/>
    <w:p w14:paraId="5CCDB31B" w14:textId="25BA2042" w:rsidR="003D4084" w:rsidRDefault="00FC4EDE" w:rsidP="00ED4FA9">
      <w:r>
        <w:t xml:space="preserve">There are various uses for standardised effect sizes such as Cohen’s </w:t>
      </w:r>
      <w:r w:rsidRPr="00A620B8">
        <w:rPr>
          <w:i/>
        </w:rPr>
        <w:t>d</w:t>
      </w:r>
      <w:r w:rsidR="00A620B8">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A620B8">
        <w:rPr>
          <w:rFonts w:eastAsiaTheme="minorEastAsia"/>
        </w:rPr>
        <w:t>,</w:t>
      </w:r>
      <w:r>
        <w:t xml:space="preserve"> or Pearson’s </w:t>
      </w:r>
      <w:r w:rsidRPr="00A620B8">
        <w:rPr>
          <w:i/>
        </w:rPr>
        <w:t>r</w:t>
      </w:r>
      <w:r>
        <w:t xml:space="preserve">, in psychology research. Most obviously, they allow for the results of an experiment </w:t>
      </w:r>
      <w:r w:rsidR="00A620B8">
        <w:t xml:space="preserve">to be expressed clearly and succinctly </w:t>
      </w:r>
      <w:r w:rsidR="009B649F">
        <w:t>transferr</w:t>
      </w:r>
      <w:r w:rsidR="00ED4FA9">
        <w:t xml:space="preserve">ing </w:t>
      </w:r>
      <w:r w:rsidR="003D4084">
        <w:t>information</w:t>
      </w:r>
      <w:r w:rsidR="00A620B8">
        <w:t xml:space="preserve">. Although in many cases the expression of the effect of an intervention or the size of an effect might be more easily and understandably expressed in raw units (i.e., when raw units are directly interpretable or widely understood),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rsidR="00ED4FA9">
        <w:t xml:space="preserve">Furthermore, they are helpful in performing formal sample size planning such as power analysis. </w:t>
      </w:r>
      <w:r w:rsidR="00A620B8">
        <w:t xml:space="preserve">Developing an understanding of effect sizes is becoming a 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rsidR="00ED4FA9">
        <w:t xml:space="preserve">. </w:t>
      </w:r>
    </w:p>
    <w:p w14:paraId="3EAC3B53" w14:textId="1FF2DD87" w:rsidR="00FC4EDE" w:rsidRDefault="00ED4FA9">
      <w:proofErr w:type="gramStart"/>
      <w:r>
        <w:t>In order to</w:t>
      </w:r>
      <w:proofErr w:type="gramEnd"/>
      <w:r>
        <w:t xml:space="preserve"> understand and make use of standardised effect sizes in the context of scientific research, one needs to have an understanding of the technical or mathematical details of how they are estimated, as well as </w:t>
      </w:r>
      <w:r w:rsidR="003D4084">
        <w:t>intuitive</w:t>
      </w:r>
      <w:r>
        <w:t xml:space="preserve"> sense of what effects can </w:t>
      </w:r>
      <w:r w:rsidR="003D4084">
        <w:t xml:space="preserve">be expected in a given area of research or how large observed effects are in context. There are many texts which provide an outline of the mathematical details,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3D4084">
        <w:t xml:space="preserve">. </w:t>
      </w:r>
      <w:r w:rsidR="0082667C">
        <w:t>T</w:t>
      </w:r>
      <w:r w:rsidR="003D4084">
        <w:t>he current paper focuses on the second aspect, on developing an intuitive understanding of effect sizes. Toward that end, t</w:t>
      </w:r>
      <w:r>
        <w:t>his paper</w:t>
      </w:r>
      <w:r w:rsidR="003D4084">
        <w:t xml:space="preserve"> outlines various approaches to understanding standardised effect sizes, giving intuitive real</w:t>
      </w:r>
      <w:r w:rsidR="0082667C">
        <w:t>-</w:t>
      </w:r>
      <w:r w:rsidR="003D4084">
        <w:t xml:space="preserve">world examples and providing </w:t>
      </w:r>
      <w:r>
        <w:t>a systematic review of</w:t>
      </w:r>
      <w:r w:rsidR="00070CEE">
        <w:t xml:space="preserve"> previous</w:t>
      </w:r>
      <w:r>
        <w:t xml:space="preserve"> efforts to provide empirical effect size benchmarks, </w:t>
      </w:r>
      <w:r w:rsidR="003D4084">
        <w:t>benchmarks</w:t>
      </w:r>
      <w:r>
        <w:t xml:space="preserve"> that are based on the observed effect sizes in the literature</w:t>
      </w:r>
      <w:r w:rsidR="003D4084">
        <w:t>.</w:t>
      </w:r>
    </w:p>
    <w:p w14:paraId="775F0E8E" w14:textId="43295843" w:rsidR="00ED4FA9" w:rsidRDefault="00EE4929">
      <w:r>
        <w:t>Many of the most commonly used s</w:t>
      </w:r>
      <w:r w:rsidR="003728C3">
        <w:t>tandardised effect size</w:t>
      </w:r>
      <w:r>
        <w:t xml:space="preserve"> </w:t>
      </w:r>
      <w:r w:rsidR="002F6C28">
        <w:t xml:space="preserve">measures and </w:t>
      </w:r>
      <w:r>
        <w:t>benchmarks</w:t>
      </w:r>
      <w:r w:rsidR="003728C3">
        <w:t xml:space="preserve"> </w:t>
      </w:r>
      <w:r>
        <w:t xml:space="preserve">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w:t>
      </w:r>
      <w:r w:rsidR="003728C3">
        <w:t xml:space="preserve">in the </w:t>
      </w:r>
      <w:r>
        <w:t>context of</w:t>
      </w:r>
      <w:r w:rsidR="003728C3">
        <w:t xml:space="preserve"> power analysis. </w:t>
      </w:r>
      <w:r w:rsidR="00E66E90">
        <w:t xml:space="preserve">Although selection of </w:t>
      </w:r>
      <w:r w:rsidR="00812B4F">
        <w:t xml:space="preserve">standardised </w:t>
      </w:r>
      <w:r w:rsidR="00E66E90">
        <w:t xml:space="preserve">effect sizes </w:t>
      </w:r>
      <w:r w:rsidR="00C40781">
        <w:t xml:space="preserve">for </w:t>
      </w:r>
      <w:r w:rsidR="00E85D4B">
        <w:t>use in power</w:t>
      </w:r>
      <w:r w:rsidR="00C40781">
        <w:t xml:space="preserve"> analysis using benchmark values, either those derived from a specific literature, or those derived from suggestions from researchers (e.g., Cohen, 1988), are</w:t>
      </w:r>
      <w:r w:rsidR="00E66E90">
        <w:t xml:space="preserve"> the least preferred way of planning sample sizes, knowledge of what effect sizes can be</w:t>
      </w:r>
      <w:r w:rsidR="00C40781">
        <w:t xml:space="preserve"> reasonably</w:t>
      </w:r>
      <w:r w:rsidR="00E66E90">
        <w:t xml:space="preserve"> expected in different areas of research are essential</w:t>
      </w:r>
      <w:r w:rsidR="00C40781">
        <w:t xml:space="preserve"> to developing reasonable effect size estimates</w:t>
      </w:r>
      <w:r w:rsidR="00E66E90">
        <w:t xml:space="preserve">. </w:t>
      </w:r>
      <w:r w:rsidR="00C40781">
        <w:t xml:space="preserve">Without either performing a formal analysis to derive effect sizes from previous studies, or using effect sizes directly seen in previous research (both approaches which can have their own issues, </w:t>
      </w:r>
      <w:r w:rsidR="00C40781">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rsidR="00C40781">
        <w:instrText xml:space="preserve"> ADDIN EN.CITE </w:instrText>
      </w:r>
      <w:r w:rsidR="00C40781">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rsidR="00C40781">
        <w:instrText xml:space="preserve"> ADDIN EN.CITE.DATA </w:instrText>
      </w:r>
      <w:r w:rsidR="00C40781">
        <w:fldChar w:fldCharType="end"/>
      </w:r>
      <w:r w:rsidR="00C40781">
        <w:fldChar w:fldCharType="separate"/>
      </w:r>
      <w:r w:rsidR="00C40781">
        <w:rPr>
          <w:noProof/>
        </w:rPr>
        <w:t>(Kenny &amp; Judd, in press; McShane &amp; Böckenholt, 2016)</w:t>
      </w:r>
      <w:r w:rsidR="00C40781">
        <w:fldChar w:fldCharType="end"/>
      </w:r>
      <w:r w:rsidR="00C40781">
        <w:t xml:space="preserve">), researchers </w:t>
      </w:r>
      <w:r w:rsidR="00E85D4B">
        <w:t>must</w:t>
      </w:r>
      <w:r w:rsidR="00C40781">
        <w:t xml:space="preserve"> select a minimum effect size of interest or </w:t>
      </w:r>
      <w:r w:rsidR="008316B0">
        <w:t>assess whether it is likely that a given effect size is a plausible outcome from their experiment, both operations which require an intuitive understanding of what effect sizes</w:t>
      </w:r>
      <w:r w:rsidR="00E85D4B">
        <w:t xml:space="preserve"> </w:t>
      </w:r>
      <w:r w:rsidR="00AE291B">
        <w:t>mean</w:t>
      </w:r>
      <w:r w:rsidR="00D05227">
        <w:t xml:space="preserve"> an</w:t>
      </w:r>
      <w:r w:rsidR="00E85D4B">
        <w:t xml:space="preserve">d what can be </w:t>
      </w:r>
      <w:r w:rsidR="00812B4F">
        <w:t xml:space="preserve">reasonably </w:t>
      </w:r>
      <w:r w:rsidR="00E85D4B">
        <w:t>expected in their</w:t>
      </w:r>
      <w:r w:rsidR="00091E74">
        <w:t xml:space="preserve"> area of research</w:t>
      </w:r>
      <w:r w:rsidR="00AE291B">
        <w:t xml:space="preserve">. </w:t>
      </w:r>
    </w:p>
    <w:p w14:paraId="346582C7" w14:textId="793F0EA1" w:rsidR="0082667C" w:rsidRDefault="002F6C28" w:rsidP="0082667C">
      <w:r>
        <w:t>… Explain how Cohen came up with these benchmarks</w:t>
      </w:r>
      <w:r w:rsidR="005D6CD5">
        <w:t>.</w:t>
      </w:r>
    </w:p>
    <w:p w14:paraId="0E322DE0" w14:textId="3616A32C" w:rsidR="007F6C4A" w:rsidRDefault="007F6C4A" w:rsidP="0082667C"/>
    <w:p w14:paraId="1D7E9CB0" w14:textId="3A592BE0" w:rsidR="007F6C4A" w:rsidRDefault="007F6C4A" w:rsidP="0082667C">
      <w:r>
        <w:t xml:space="preserve">Other ways of expressing effect sizes </w:t>
      </w:r>
    </w:p>
    <w:p w14:paraId="3D9201B6" w14:textId="46DC5229" w:rsidR="003F63B7" w:rsidRPr="007D66EB" w:rsidRDefault="003F63B7" w:rsidP="007D66EB">
      <w:pPr>
        <w:spacing w:line="360" w:lineRule="auto"/>
        <w:rPr>
          <w:rFonts w:eastAsiaTheme="minorEastAsia" w:cstheme="minorHAnsi"/>
        </w:rPr>
      </w:pPr>
      <w:r>
        <w:rPr>
          <w:rFonts w:cstheme="minorHAnsi"/>
        </w:rPr>
        <w:t xml:space="preserve">Proportion overlap (U) </w:t>
      </w:r>
      <w:r w:rsidR="007D66EB">
        <w:rPr>
          <w:rFonts w:cstheme="minorHAnsi"/>
        </w:rPr>
        <w:t>–</w:t>
      </w:r>
      <w:r>
        <w:rPr>
          <w:rFonts w:cstheme="minorHAnsi"/>
        </w:rPr>
        <w:t xml:space="preserve"> </w:t>
      </w:r>
    </w:p>
    <w:p w14:paraId="3102B677" w14:textId="311C1242" w:rsidR="007D66EB" w:rsidRPr="007D66EB" w:rsidRDefault="007D66EB" w:rsidP="007D66EB">
      <w:pPr>
        <w:spacing w:line="360" w:lineRule="auto"/>
        <w:rPr>
          <w:rFonts w:eastAsiaTheme="minorEastAsia" w:cstheme="minorHAnsi"/>
        </w:rPr>
      </w:pPr>
    </w:p>
    <w:p w14:paraId="010FB2D4" w14:textId="77777777" w:rsidR="007D66EB" w:rsidRPr="007D66EB" w:rsidRDefault="007D66EB" w:rsidP="003F63B7">
      <w:pPr>
        <w:spacing w:line="360" w:lineRule="auto"/>
        <w:rPr>
          <w:rFonts w:eastAsiaTheme="minorEastAsia" w:cstheme="minorHAnsi"/>
        </w:rPr>
      </w:pPr>
    </w:p>
    <w:p w14:paraId="25586D60" w14:textId="77777777" w:rsidR="003F63B7" w:rsidRDefault="003F63B7" w:rsidP="003F63B7">
      <w:pPr>
        <w:spacing w:line="360" w:lineRule="auto"/>
        <w:rPr>
          <w:noProof/>
        </w:rPr>
      </w:pPr>
      <w:r>
        <w:rPr>
          <w:noProof/>
        </w:rPr>
        <w:lastRenderedPageBreak/>
        <w:drawing>
          <wp:inline distT="0" distB="0" distL="0" distR="0" wp14:anchorId="672480FA" wp14:editId="7E74EA35">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649E8F7" wp14:editId="3C7B335B">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D6E0BEA" wp14:editId="61CBF263">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81EACC2" wp14:editId="7BD684C9">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4C68AF93" w14:textId="45BAE0AF" w:rsidR="003F63B7" w:rsidRDefault="003F63B7" w:rsidP="003F63B7">
      <w:pPr>
        <w:spacing w:line="360" w:lineRule="auto"/>
        <w:rPr>
          <w:rFonts w:cstheme="minorHAnsi"/>
        </w:rPr>
      </w:pPr>
      <w:r>
        <w:rPr>
          <w:rFonts w:cstheme="minorHAnsi"/>
          <w:i/>
        </w:rPr>
        <w:t>Figure [Cohen’s d as population distributions]</w:t>
      </w:r>
      <w:r>
        <w:rPr>
          <w:rFonts w:cstheme="minorHAnsi"/>
        </w:rPr>
        <w:t xml:space="preserve">. Population distributions with a mean difference of .2, .5, .8 and 1.2 Cohen’s d, along with the percentage overlap between populations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2D4A6A80" w14:textId="1AE46A92" w:rsidR="002640A9" w:rsidRDefault="002640A9" w:rsidP="003F63B7">
      <w:pPr>
        <w:spacing w:line="360" w:lineRule="auto"/>
        <w:rPr>
          <w:rFonts w:cstheme="minorHAnsi"/>
        </w:rPr>
      </w:pPr>
    </w:p>
    <w:p w14:paraId="47D9341C" w14:textId="77777777" w:rsidR="002640A9" w:rsidRDefault="002640A9" w:rsidP="003F63B7">
      <w:pPr>
        <w:spacing w:line="360" w:lineRule="auto"/>
        <w:rPr>
          <w:rFonts w:cstheme="minorHAnsi"/>
        </w:rPr>
      </w:pPr>
    </w:p>
    <w:p w14:paraId="4B9707D9" w14:textId="28DFF527" w:rsidR="003F63B7" w:rsidRDefault="0082667C">
      <w:r>
        <w:t>Examples of effect sizes</w:t>
      </w:r>
    </w:p>
    <w:p w14:paraId="53EF37A9" w14:textId="7A6FD536" w:rsidR="003F63B7" w:rsidRDefault="003F63B7">
      <w:r>
        <w:t>Table [Cohen] Cohen’s (1988) Benchmarks for different types of effect size</w:t>
      </w:r>
    </w:p>
    <w:tbl>
      <w:tblPr>
        <w:tblStyle w:val="TableGrid"/>
        <w:tblW w:w="0" w:type="auto"/>
        <w:tblLook w:val="04A0" w:firstRow="1" w:lastRow="0" w:firstColumn="1" w:lastColumn="0" w:noHBand="0" w:noVBand="1"/>
      </w:tblPr>
      <w:tblGrid>
        <w:gridCol w:w="2254"/>
        <w:gridCol w:w="2254"/>
        <w:gridCol w:w="2254"/>
        <w:gridCol w:w="2254"/>
      </w:tblGrid>
      <w:tr w:rsidR="003F63B7" w14:paraId="7B6E8AB5" w14:textId="77777777" w:rsidTr="003F63B7">
        <w:tc>
          <w:tcPr>
            <w:tcW w:w="2254" w:type="dxa"/>
          </w:tcPr>
          <w:p w14:paraId="145F5F48" w14:textId="2CBC1F61" w:rsidR="003F63B7" w:rsidRDefault="003F63B7">
            <w:r>
              <w:t>Effect size</w:t>
            </w:r>
          </w:p>
        </w:tc>
        <w:tc>
          <w:tcPr>
            <w:tcW w:w="2254" w:type="dxa"/>
          </w:tcPr>
          <w:p w14:paraId="29D6FF23" w14:textId="53DA3FB2" w:rsidR="003F63B7" w:rsidRDefault="003F63B7">
            <w:r>
              <w:t>Small (variance explained)</w:t>
            </w:r>
          </w:p>
        </w:tc>
        <w:tc>
          <w:tcPr>
            <w:tcW w:w="2254" w:type="dxa"/>
          </w:tcPr>
          <w:p w14:paraId="38069B1C" w14:textId="68C82C5B" w:rsidR="003F63B7" w:rsidRDefault="003F63B7">
            <w:r>
              <w:t xml:space="preserve">Medium </w:t>
            </w:r>
            <w:r w:rsidRPr="003F63B7">
              <w:t>(variance explained)</w:t>
            </w:r>
          </w:p>
        </w:tc>
        <w:tc>
          <w:tcPr>
            <w:tcW w:w="2254" w:type="dxa"/>
          </w:tcPr>
          <w:p w14:paraId="70796041" w14:textId="5685421D" w:rsidR="003F63B7" w:rsidRDefault="003F63B7">
            <w:r>
              <w:t xml:space="preserve">Large </w:t>
            </w:r>
            <w:r w:rsidRPr="003F63B7">
              <w:t>(variance explained)</w:t>
            </w:r>
          </w:p>
        </w:tc>
      </w:tr>
      <w:tr w:rsidR="003F63B7" w14:paraId="1927368E" w14:textId="77777777" w:rsidTr="003F63B7">
        <w:tc>
          <w:tcPr>
            <w:tcW w:w="2254" w:type="dxa"/>
          </w:tcPr>
          <w:p w14:paraId="5ACC2D93" w14:textId="6E1AD6BB" w:rsidR="003F63B7" w:rsidRDefault="007D66EB">
            <w:r>
              <w:t>d</w:t>
            </w:r>
          </w:p>
        </w:tc>
        <w:tc>
          <w:tcPr>
            <w:tcW w:w="2254" w:type="dxa"/>
          </w:tcPr>
          <w:p w14:paraId="65FD48ED" w14:textId="1E908A7B" w:rsidR="003F63B7" w:rsidRDefault="007D66EB">
            <w:r>
              <w:t>.2</w:t>
            </w:r>
          </w:p>
        </w:tc>
        <w:tc>
          <w:tcPr>
            <w:tcW w:w="2254" w:type="dxa"/>
          </w:tcPr>
          <w:p w14:paraId="40E394D9" w14:textId="522E13B6" w:rsidR="003F63B7" w:rsidRDefault="007D66EB">
            <w:r>
              <w:t>.5</w:t>
            </w:r>
          </w:p>
        </w:tc>
        <w:tc>
          <w:tcPr>
            <w:tcW w:w="2254" w:type="dxa"/>
          </w:tcPr>
          <w:p w14:paraId="75D2201F" w14:textId="23620463" w:rsidR="003F63B7" w:rsidRDefault="007D66EB">
            <w:r>
              <w:t>.8</w:t>
            </w:r>
          </w:p>
        </w:tc>
      </w:tr>
      <w:tr w:rsidR="003F63B7" w14:paraId="241EBCCC" w14:textId="77777777" w:rsidTr="003F63B7">
        <w:tc>
          <w:tcPr>
            <w:tcW w:w="2254" w:type="dxa"/>
          </w:tcPr>
          <w:p w14:paraId="1064B1A4" w14:textId="457DAE2C" w:rsidR="003F63B7" w:rsidRDefault="007D66EB">
            <w:r>
              <w:t>r</w:t>
            </w:r>
          </w:p>
        </w:tc>
        <w:tc>
          <w:tcPr>
            <w:tcW w:w="2254" w:type="dxa"/>
          </w:tcPr>
          <w:p w14:paraId="01FFA212" w14:textId="715CFCEB" w:rsidR="003F63B7" w:rsidRDefault="007D66EB">
            <w:r>
              <w:t>.1</w:t>
            </w:r>
          </w:p>
        </w:tc>
        <w:tc>
          <w:tcPr>
            <w:tcW w:w="2254" w:type="dxa"/>
          </w:tcPr>
          <w:p w14:paraId="46F93693" w14:textId="0DFDC874" w:rsidR="003F63B7" w:rsidRDefault="007D66EB">
            <w:r>
              <w:t>.3</w:t>
            </w:r>
          </w:p>
        </w:tc>
        <w:tc>
          <w:tcPr>
            <w:tcW w:w="2254" w:type="dxa"/>
          </w:tcPr>
          <w:p w14:paraId="61AF7B6C" w14:textId="7CF1E9E1" w:rsidR="003F63B7" w:rsidRDefault="007D66EB">
            <w:r>
              <w:t>.5</w:t>
            </w:r>
          </w:p>
        </w:tc>
      </w:tr>
      <w:tr w:rsidR="003F63B7" w14:paraId="1E0EC9DA" w14:textId="77777777" w:rsidTr="003F63B7">
        <w:tc>
          <w:tcPr>
            <w:tcW w:w="2254" w:type="dxa"/>
          </w:tcPr>
          <w:p w14:paraId="4A3D9A6D" w14:textId="449AE69B" w:rsidR="003F63B7" w:rsidRDefault="007D66EB">
            <w:r>
              <w:t>w (</w:t>
            </w:r>
            <w:r w:rsidRPr="00010B3C">
              <w:rPr>
                <w:szCs w:val="24"/>
              </w:rPr>
              <w:sym w:font="Symbol" w:char="F066"/>
            </w:r>
            <w:r>
              <w:rPr>
                <w:szCs w:val="24"/>
              </w:rPr>
              <w:t>)</w:t>
            </w:r>
          </w:p>
        </w:tc>
        <w:tc>
          <w:tcPr>
            <w:tcW w:w="2254" w:type="dxa"/>
          </w:tcPr>
          <w:p w14:paraId="385A29E8" w14:textId="5B97D6F4" w:rsidR="003F63B7" w:rsidRDefault="007D66EB">
            <w:r>
              <w:t>.1</w:t>
            </w:r>
          </w:p>
        </w:tc>
        <w:tc>
          <w:tcPr>
            <w:tcW w:w="2254" w:type="dxa"/>
          </w:tcPr>
          <w:p w14:paraId="760668BE" w14:textId="023FA31D" w:rsidR="003F63B7" w:rsidRDefault="007D66EB">
            <w:r>
              <w:t>.3</w:t>
            </w:r>
          </w:p>
        </w:tc>
        <w:tc>
          <w:tcPr>
            <w:tcW w:w="2254" w:type="dxa"/>
          </w:tcPr>
          <w:p w14:paraId="6EED3B74" w14:textId="54A51824" w:rsidR="003F63B7" w:rsidRDefault="007D66EB">
            <w:r>
              <w:t>.5</w:t>
            </w:r>
          </w:p>
        </w:tc>
      </w:tr>
      <w:tr w:rsidR="003F63B7" w14:paraId="734F1832" w14:textId="77777777" w:rsidTr="003F63B7">
        <w:tc>
          <w:tcPr>
            <w:tcW w:w="2254" w:type="dxa"/>
          </w:tcPr>
          <w:p w14:paraId="38627BA6" w14:textId="68AE9195" w:rsidR="003F63B7" w:rsidRDefault="007D66EB">
            <w:r>
              <w:t>OR (converted from w) CHECK COHEN FOR THIS</w:t>
            </w:r>
          </w:p>
        </w:tc>
        <w:tc>
          <w:tcPr>
            <w:tcW w:w="2254" w:type="dxa"/>
          </w:tcPr>
          <w:p w14:paraId="352E65C6" w14:textId="093C35F3" w:rsidR="003F63B7" w:rsidRDefault="007D66EB">
            <w:r>
              <w:t>1.49</w:t>
            </w:r>
          </w:p>
        </w:tc>
        <w:tc>
          <w:tcPr>
            <w:tcW w:w="2254" w:type="dxa"/>
          </w:tcPr>
          <w:p w14:paraId="500327EF" w14:textId="21266CDA" w:rsidR="003F63B7" w:rsidRDefault="007D66EB">
            <w:r>
              <w:t>3.45</w:t>
            </w:r>
          </w:p>
        </w:tc>
        <w:tc>
          <w:tcPr>
            <w:tcW w:w="2254" w:type="dxa"/>
          </w:tcPr>
          <w:p w14:paraId="241FCED9" w14:textId="3A0E79E5" w:rsidR="003F63B7" w:rsidRDefault="007D66EB">
            <w:r>
              <w:t>9</w:t>
            </w:r>
          </w:p>
        </w:tc>
      </w:tr>
      <w:tr w:rsidR="003F63B7" w14:paraId="50135832" w14:textId="77777777" w:rsidTr="003F63B7">
        <w:tc>
          <w:tcPr>
            <w:tcW w:w="2254" w:type="dxa"/>
          </w:tcPr>
          <w:p w14:paraId="3C602D4D" w14:textId="1906E116" w:rsidR="003F63B7" w:rsidRPr="007D66EB" w:rsidRDefault="00283BA3">
            <w:pPr>
              <w:rPr>
                <w:i/>
              </w:rPr>
            </w:pPr>
            <w:r>
              <w:rPr>
                <w:i/>
              </w:rPr>
              <w:t>f</w:t>
            </w:r>
          </w:p>
        </w:tc>
        <w:tc>
          <w:tcPr>
            <w:tcW w:w="2254" w:type="dxa"/>
          </w:tcPr>
          <w:p w14:paraId="50B6B59E" w14:textId="02A0E988" w:rsidR="003F63B7" w:rsidRDefault="007D66EB">
            <w:r>
              <w:t>.1</w:t>
            </w:r>
          </w:p>
        </w:tc>
        <w:tc>
          <w:tcPr>
            <w:tcW w:w="2254" w:type="dxa"/>
          </w:tcPr>
          <w:p w14:paraId="0C6255A7" w14:textId="5B91C78A" w:rsidR="003F63B7" w:rsidRDefault="007D66EB">
            <w:r>
              <w:t>.25</w:t>
            </w:r>
          </w:p>
        </w:tc>
        <w:tc>
          <w:tcPr>
            <w:tcW w:w="2254" w:type="dxa"/>
          </w:tcPr>
          <w:p w14:paraId="337CA6AF" w14:textId="20749FA6" w:rsidR="003F63B7" w:rsidRDefault="007D66EB">
            <w:r>
              <w:t>.4</w:t>
            </w:r>
          </w:p>
        </w:tc>
      </w:tr>
      <w:tr w:rsidR="00283BA3" w14:paraId="1C5E4B3B" w14:textId="77777777" w:rsidTr="003F63B7">
        <w:tc>
          <w:tcPr>
            <w:tcW w:w="2254" w:type="dxa"/>
          </w:tcPr>
          <w:p w14:paraId="1D48F733" w14:textId="29F98D15" w:rsidR="00283BA3" w:rsidRPr="007D66EB" w:rsidRDefault="00283BA3">
            <w:pPr>
              <w:rPr>
                <w:i/>
              </w:rPr>
            </w:pPr>
            <w:r>
              <w:rPr>
                <w:i/>
              </w:rPr>
              <w:t>f</w:t>
            </w:r>
            <w:r w:rsidRPr="00283BA3">
              <w:rPr>
                <w:i/>
                <w:vertAlign w:val="superscript"/>
              </w:rPr>
              <w:t>2</w:t>
            </w:r>
          </w:p>
        </w:tc>
        <w:tc>
          <w:tcPr>
            <w:tcW w:w="2254" w:type="dxa"/>
          </w:tcPr>
          <w:p w14:paraId="134033C0" w14:textId="4B81A272" w:rsidR="00283BA3" w:rsidRDefault="00283BA3">
            <w:r>
              <w:t>.02</w:t>
            </w:r>
          </w:p>
        </w:tc>
        <w:tc>
          <w:tcPr>
            <w:tcW w:w="2254" w:type="dxa"/>
          </w:tcPr>
          <w:p w14:paraId="210E0686" w14:textId="0ECEA2DE" w:rsidR="00283BA3" w:rsidRDefault="00283BA3">
            <w:r>
              <w:t>.15</w:t>
            </w:r>
          </w:p>
        </w:tc>
        <w:tc>
          <w:tcPr>
            <w:tcW w:w="2254" w:type="dxa"/>
          </w:tcPr>
          <w:p w14:paraId="321CF7E1" w14:textId="76DD17DB" w:rsidR="00283BA3" w:rsidRDefault="00283BA3">
            <w:r>
              <w:t>.35</w:t>
            </w:r>
          </w:p>
        </w:tc>
      </w:tr>
      <w:tr w:rsidR="003F63B7" w14:paraId="11C0D6A6" w14:textId="77777777" w:rsidTr="003F63B7">
        <w:tc>
          <w:tcPr>
            <w:tcW w:w="2254" w:type="dxa"/>
          </w:tcPr>
          <w:p w14:paraId="112B6117" w14:textId="5F7C7CF7" w:rsidR="003F63B7" w:rsidRPr="007D66EB" w:rsidRDefault="00283BA3">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rPr>
              <w:t xml:space="preserve"> </w:t>
            </w:r>
            <w:r w:rsidR="00D67633">
              <w:rPr>
                <w:rFonts w:eastAsiaTheme="minorEastAsia"/>
              </w:rPr>
              <w:t xml:space="preserve"> </w:t>
            </w:r>
            <w:r w:rsidR="00D67633" w:rsidRPr="00D67633">
              <w:rPr>
                <w:rFonts w:eastAsiaTheme="minorEastAsia"/>
                <w:vertAlign w:val="superscript"/>
              </w:rPr>
              <w:t>b</w:t>
            </w:r>
          </w:p>
        </w:tc>
        <w:tc>
          <w:tcPr>
            <w:tcW w:w="2254" w:type="dxa"/>
          </w:tcPr>
          <w:p w14:paraId="48386A8C" w14:textId="51439AD9" w:rsidR="003F63B7" w:rsidRDefault="007D0EE8">
            <w:r>
              <w:t>.0099</w:t>
            </w:r>
          </w:p>
        </w:tc>
        <w:tc>
          <w:tcPr>
            <w:tcW w:w="2254" w:type="dxa"/>
          </w:tcPr>
          <w:p w14:paraId="375C69BB" w14:textId="482C82B7" w:rsidR="003F63B7" w:rsidRDefault="007D0EE8">
            <w:r>
              <w:t>.0588</w:t>
            </w:r>
          </w:p>
        </w:tc>
        <w:tc>
          <w:tcPr>
            <w:tcW w:w="2254" w:type="dxa"/>
          </w:tcPr>
          <w:p w14:paraId="6F5101D9" w14:textId="4AB975C6" w:rsidR="003F63B7" w:rsidRDefault="007D0EE8">
            <w:r>
              <w:t>.1379</w:t>
            </w:r>
          </w:p>
        </w:tc>
      </w:tr>
      <w:tr w:rsidR="007D66EB" w14:paraId="67F2F0ED" w14:textId="77777777" w:rsidTr="003F63B7">
        <w:tc>
          <w:tcPr>
            <w:tcW w:w="2254" w:type="dxa"/>
          </w:tcPr>
          <w:p w14:paraId="2DF758AD" w14:textId="295530A7" w:rsidR="007D66EB" w:rsidRDefault="007D66EB" w:rsidP="007D66EB">
            <w:r>
              <w:t>R</w:t>
            </w:r>
            <w:r>
              <w:rPr>
                <w:vertAlign w:val="superscript"/>
              </w:rPr>
              <w:t>2</w:t>
            </w:r>
          </w:p>
        </w:tc>
        <w:tc>
          <w:tcPr>
            <w:tcW w:w="2254" w:type="dxa"/>
          </w:tcPr>
          <w:p w14:paraId="0511AB6F" w14:textId="31D0D0B9" w:rsidR="007D66EB" w:rsidRDefault="007D66EB" w:rsidP="007D66EB">
            <w:r>
              <w:t>.02</w:t>
            </w:r>
          </w:p>
        </w:tc>
        <w:tc>
          <w:tcPr>
            <w:tcW w:w="2254" w:type="dxa"/>
          </w:tcPr>
          <w:p w14:paraId="11EA78D9" w14:textId="66A0217F" w:rsidR="007D66EB" w:rsidRDefault="007D66EB" w:rsidP="007D66EB">
            <w:r>
              <w:t>.</w:t>
            </w:r>
            <w:r w:rsidR="00283BA3">
              <w:t>13</w:t>
            </w:r>
          </w:p>
        </w:tc>
        <w:tc>
          <w:tcPr>
            <w:tcW w:w="2254" w:type="dxa"/>
          </w:tcPr>
          <w:p w14:paraId="6B2AE729" w14:textId="4CDF29F8" w:rsidR="007D66EB" w:rsidRDefault="007D66EB" w:rsidP="007D66EB">
            <w:r>
              <w:t>.</w:t>
            </w:r>
            <w:r w:rsidR="00283BA3">
              <w:t>26</w:t>
            </w:r>
          </w:p>
        </w:tc>
      </w:tr>
    </w:tbl>
    <w:p w14:paraId="6185ABE8" w14:textId="10DD04BB" w:rsidR="003F63B7" w:rsidRDefault="00DC1971">
      <w:r>
        <w:t xml:space="preserve">Notes: </w:t>
      </w:r>
      <w:proofErr w:type="gramStart"/>
      <w:r>
        <w:rPr>
          <w:vertAlign w:val="superscript"/>
        </w:rPr>
        <w:t>a</w:t>
      </w:r>
      <w:proofErr w:type="gramEnd"/>
      <w:r>
        <w:t xml:space="preserve"> Transformed from Cohen’s benchmarks for </w:t>
      </w:r>
      <w:r w:rsidR="0065070D" w:rsidRPr="007D0EE8">
        <w:rPr>
          <w:i/>
        </w:rPr>
        <w:t>f</w:t>
      </w:r>
      <w:r w:rsidR="007D0EE8">
        <w:t xml:space="preserve"> </w:t>
      </w:r>
    </w:p>
    <w:p w14:paraId="66D573F6" w14:textId="25CE900B" w:rsidR="003F63B7" w:rsidRDefault="003F63B7"/>
    <w:p w14:paraId="6DF8F397" w14:textId="77777777" w:rsidR="003F63B7" w:rsidRPr="00D12C09" w:rsidRDefault="003F63B7" w:rsidP="003F63B7">
      <w:pPr>
        <w:spacing w:before="60" w:after="60"/>
      </w:pPr>
    </w:p>
    <w:p w14:paraId="02A5CAB1" w14:textId="77777777" w:rsidR="003F63B7" w:rsidRPr="007C2F52" w:rsidRDefault="003F63B7" w:rsidP="003F63B7">
      <w:pPr>
        <w:spacing w:before="60" w:after="60"/>
        <w:rPr>
          <w:b/>
          <w:sz w:val="28"/>
          <w:szCs w:val="28"/>
        </w:rPr>
      </w:pPr>
      <w:r w:rsidRPr="007C2F52">
        <w:rPr>
          <w:b/>
          <w:sz w:val="28"/>
          <w:szCs w:val="28"/>
        </w:rPr>
        <w:t xml:space="preserve">Difference </w:t>
      </w:r>
      <w:r w:rsidRPr="00754E16">
        <w:rPr>
          <w:b/>
          <w:sz w:val="28"/>
          <w:szCs w:val="28"/>
        </w:rPr>
        <w:t>B</w:t>
      </w:r>
      <w:r w:rsidRPr="007C2F52">
        <w:rPr>
          <w:b/>
          <w:sz w:val="28"/>
          <w:szCs w:val="28"/>
        </w:rPr>
        <w:t xml:space="preserve">etween </w:t>
      </w:r>
      <w:r>
        <w:rPr>
          <w:b/>
          <w:sz w:val="28"/>
          <w:szCs w:val="28"/>
        </w:rPr>
        <w:t>T</w:t>
      </w:r>
      <w:r w:rsidRPr="007C2F52">
        <w:rPr>
          <w:b/>
          <w:sz w:val="28"/>
          <w:szCs w:val="28"/>
        </w:rPr>
        <w:t xml:space="preserve">wo </w:t>
      </w:r>
      <w:r>
        <w:rPr>
          <w:b/>
          <w:sz w:val="28"/>
          <w:szCs w:val="28"/>
        </w:rPr>
        <w:t>M</w:t>
      </w:r>
      <w:r w:rsidRPr="007C2F52">
        <w:rPr>
          <w:b/>
          <w:sz w:val="28"/>
          <w:szCs w:val="28"/>
        </w:rPr>
        <w:t>eans</w:t>
      </w:r>
      <w:r>
        <w:rPr>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200"/>
        <w:gridCol w:w="1920"/>
      </w:tblGrid>
      <w:tr w:rsidR="003F63B7" w:rsidRPr="00010B3C" w14:paraId="5BF9CBCC" w14:textId="77777777" w:rsidTr="003F63B7">
        <w:tc>
          <w:tcPr>
            <w:tcW w:w="2268" w:type="dxa"/>
            <w:tcBorders>
              <w:left w:val="nil"/>
              <w:bottom w:val="single" w:sz="4" w:space="0" w:color="auto"/>
              <w:right w:val="nil"/>
            </w:tcBorders>
            <w:shd w:val="clear" w:color="auto" w:fill="auto"/>
          </w:tcPr>
          <w:p w14:paraId="2D5D8BE5" w14:textId="77777777" w:rsidR="003F63B7" w:rsidRPr="00010B3C" w:rsidRDefault="003F63B7" w:rsidP="003F63B7">
            <w:pPr>
              <w:spacing w:before="60" w:after="60"/>
              <w:rPr>
                <w:szCs w:val="24"/>
              </w:rPr>
            </w:pPr>
            <w:r w:rsidRPr="00010B3C">
              <w:rPr>
                <w:szCs w:val="24"/>
              </w:rPr>
              <w:t>Size of effect</w:t>
            </w:r>
          </w:p>
        </w:tc>
        <w:tc>
          <w:tcPr>
            <w:tcW w:w="1200" w:type="dxa"/>
            <w:tcBorders>
              <w:left w:val="nil"/>
              <w:bottom w:val="single" w:sz="4" w:space="0" w:color="auto"/>
              <w:right w:val="nil"/>
            </w:tcBorders>
            <w:shd w:val="clear" w:color="auto" w:fill="auto"/>
          </w:tcPr>
          <w:p w14:paraId="78CC8E62" w14:textId="77777777" w:rsidR="003F63B7" w:rsidRPr="00010B3C" w:rsidRDefault="003F63B7" w:rsidP="003F63B7">
            <w:pPr>
              <w:spacing w:before="60" w:after="60"/>
              <w:jc w:val="center"/>
              <w:rPr>
                <w:szCs w:val="24"/>
              </w:rPr>
            </w:pPr>
            <w:r w:rsidRPr="00010B3C">
              <w:rPr>
                <w:i/>
                <w:szCs w:val="24"/>
              </w:rPr>
              <w:t>d</w:t>
            </w:r>
          </w:p>
        </w:tc>
        <w:tc>
          <w:tcPr>
            <w:tcW w:w="1920" w:type="dxa"/>
            <w:tcBorders>
              <w:left w:val="nil"/>
              <w:bottom w:val="single" w:sz="4" w:space="0" w:color="auto"/>
              <w:right w:val="nil"/>
            </w:tcBorders>
            <w:shd w:val="clear" w:color="auto" w:fill="auto"/>
          </w:tcPr>
          <w:p w14:paraId="5A7F2D4D" w14:textId="77777777" w:rsidR="003F63B7" w:rsidRPr="00010B3C" w:rsidRDefault="003F63B7" w:rsidP="003F63B7">
            <w:pPr>
              <w:spacing w:before="60" w:after="60"/>
              <w:jc w:val="center"/>
              <w:rPr>
                <w:szCs w:val="24"/>
              </w:rPr>
            </w:pPr>
            <w:r w:rsidRPr="00010B3C">
              <w:rPr>
                <w:szCs w:val="24"/>
              </w:rPr>
              <w:t>% variance</w:t>
            </w:r>
          </w:p>
        </w:tc>
      </w:tr>
      <w:tr w:rsidR="003F63B7" w:rsidRPr="00010B3C" w14:paraId="61D7664F" w14:textId="77777777" w:rsidTr="003F63B7">
        <w:tc>
          <w:tcPr>
            <w:tcW w:w="2268" w:type="dxa"/>
            <w:tcBorders>
              <w:left w:val="nil"/>
              <w:bottom w:val="nil"/>
              <w:right w:val="nil"/>
            </w:tcBorders>
            <w:shd w:val="clear" w:color="auto" w:fill="auto"/>
          </w:tcPr>
          <w:p w14:paraId="190C2F5F" w14:textId="77777777" w:rsidR="003F63B7" w:rsidRPr="00010B3C" w:rsidRDefault="003F63B7" w:rsidP="003F63B7">
            <w:pPr>
              <w:spacing w:before="60" w:after="60"/>
              <w:rPr>
                <w:szCs w:val="24"/>
              </w:rPr>
            </w:pPr>
            <w:r w:rsidRPr="00010B3C">
              <w:rPr>
                <w:szCs w:val="24"/>
              </w:rPr>
              <w:t>small</w:t>
            </w:r>
          </w:p>
        </w:tc>
        <w:tc>
          <w:tcPr>
            <w:tcW w:w="1200" w:type="dxa"/>
            <w:tcBorders>
              <w:left w:val="nil"/>
              <w:bottom w:val="nil"/>
              <w:right w:val="nil"/>
            </w:tcBorders>
            <w:shd w:val="clear" w:color="auto" w:fill="auto"/>
          </w:tcPr>
          <w:p w14:paraId="03821653" w14:textId="77777777" w:rsidR="003F63B7" w:rsidRPr="00010B3C" w:rsidRDefault="003F63B7" w:rsidP="003F63B7">
            <w:pPr>
              <w:spacing w:before="60" w:after="60"/>
              <w:jc w:val="center"/>
              <w:rPr>
                <w:szCs w:val="24"/>
              </w:rPr>
            </w:pPr>
            <w:r w:rsidRPr="00010B3C">
              <w:rPr>
                <w:szCs w:val="24"/>
              </w:rPr>
              <w:t>.2</w:t>
            </w:r>
          </w:p>
        </w:tc>
        <w:tc>
          <w:tcPr>
            <w:tcW w:w="1920" w:type="dxa"/>
            <w:tcBorders>
              <w:left w:val="nil"/>
              <w:bottom w:val="nil"/>
              <w:right w:val="nil"/>
            </w:tcBorders>
            <w:shd w:val="clear" w:color="auto" w:fill="auto"/>
          </w:tcPr>
          <w:p w14:paraId="309F1438" w14:textId="77777777" w:rsidR="003F63B7" w:rsidRPr="00010B3C" w:rsidRDefault="003F63B7" w:rsidP="003F63B7">
            <w:pPr>
              <w:tabs>
                <w:tab w:val="decimal" w:pos="612"/>
              </w:tabs>
              <w:spacing w:before="60" w:after="60"/>
              <w:rPr>
                <w:szCs w:val="24"/>
              </w:rPr>
            </w:pPr>
            <w:r w:rsidRPr="00010B3C">
              <w:rPr>
                <w:szCs w:val="24"/>
              </w:rPr>
              <w:t>1</w:t>
            </w:r>
          </w:p>
        </w:tc>
      </w:tr>
      <w:tr w:rsidR="003F63B7" w:rsidRPr="00010B3C" w14:paraId="5A4D8ACD" w14:textId="77777777" w:rsidTr="003F63B7">
        <w:tc>
          <w:tcPr>
            <w:tcW w:w="2268" w:type="dxa"/>
            <w:tcBorders>
              <w:top w:val="nil"/>
              <w:left w:val="nil"/>
              <w:bottom w:val="nil"/>
              <w:right w:val="nil"/>
            </w:tcBorders>
            <w:shd w:val="clear" w:color="auto" w:fill="auto"/>
          </w:tcPr>
          <w:p w14:paraId="1F7CC6DC" w14:textId="77777777" w:rsidR="003F63B7" w:rsidRPr="00010B3C" w:rsidRDefault="003F63B7" w:rsidP="003F63B7">
            <w:pPr>
              <w:spacing w:before="60" w:after="60"/>
              <w:rPr>
                <w:szCs w:val="24"/>
              </w:rPr>
            </w:pPr>
            <w:r w:rsidRPr="00010B3C">
              <w:rPr>
                <w:szCs w:val="24"/>
              </w:rPr>
              <w:t>medium</w:t>
            </w:r>
          </w:p>
        </w:tc>
        <w:tc>
          <w:tcPr>
            <w:tcW w:w="1200" w:type="dxa"/>
            <w:tcBorders>
              <w:top w:val="nil"/>
              <w:left w:val="nil"/>
              <w:bottom w:val="nil"/>
              <w:right w:val="nil"/>
            </w:tcBorders>
            <w:shd w:val="clear" w:color="auto" w:fill="auto"/>
          </w:tcPr>
          <w:p w14:paraId="10E59774" w14:textId="77777777" w:rsidR="003F63B7" w:rsidRPr="00010B3C" w:rsidRDefault="003F63B7" w:rsidP="003F63B7">
            <w:pPr>
              <w:spacing w:before="60" w:after="60"/>
              <w:jc w:val="center"/>
              <w:rPr>
                <w:szCs w:val="24"/>
              </w:rPr>
            </w:pPr>
            <w:r w:rsidRPr="00010B3C">
              <w:rPr>
                <w:szCs w:val="24"/>
              </w:rPr>
              <w:t>.5</w:t>
            </w:r>
          </w:p>
        </w:tc>
        <w:tc>
          <w:tcPr>
            <w:tcW w:w="1920" w:type="dxa"/>
            <w:tcBorders>
              <w:top w:val="nil"/>
              <w:left w:val="nil"/>
              <w:bottom w:val="nil"/>
              <w:right w:val="nil"/>
            </w:tcBorders>
            <w:shd w:val="clear" w:color="auto" w:fill="auto"/>
          </w:tcPr>
          <w:p w14:paraId="52EFF317" w14:textId="77777777" w:rsidR="003F63B7" w:rsidRPr="00010B3C" w:rsidRDefault="003F63B7" w:rsidP="003F63B7">
            <w:pPr>
              <w:tabs>
                <w:tab w:val="decimal" w:pos="612"/>
              </w:tabs>
              <w:spacing w:before="60" w:after="60"/>
              <w:rPr>
                <w:szCs w:val="24"/>
              </w:rPr>
            </w:pPr>
            <w:r w:rsidRPr="00010B3C">
              <w:rPr>
                <w:szCs w:val="24"/>
              </w:rPr>
              <w:t>6</w:t>
            </w:r>
          </w:p>
        </w:tc>
      </w:tr>
      <w:tr w:rsidR="003F63B7" w:rsidRPr="00010B3C" w14:paraId="58C73F0F" w14:textId="77777777" w:rsidTr="003F63B7">
        <w:tc>
          <w:tcPr>
            <w:tcW w:w="2268" w:type="dxa"/>
            <w:tcBorders>
              <w:top w:val="nil"/>
              <w:left w:val="nil"/>
              <w:right w:val="nil"/>
            </w:tcBorders>
            <w:shd w:val="clear" w:color="auto" w:fill="auto"/>
          </w:tcPr>
          <w:p w14:paraId="6BD2C551" w14:textId="77777777" w:rsidR="003F63B7" w:rsidRPr="00010B3C" w:rsidRDefault="003F63B7" w:rsidP="003F63B7">
            <w:pPr>
              <w:spacing w:before="60" w:after="60"/>
              <w:rPr>
                <w:szCs w:val="24"/>
              </w:rPr>
            </w:pPr>
            <w:r w:rsidRPr="00010B3C">
              <w:rPr>
                <w:szCs w:val="24"/>
              </w:rPr>
              <w:t>large</w:t>
            </w:r>
          </w:p>
        </w:tc>
        <w:tc>
          <w:tcPr>
            <w:tcW w:w="1200" w:type="dxa"/>
            <w:tcBorders>
              <w:top w:val="nil"/>
              <w:left w:val="nil"/>
              <w:right w:val="nil"/>
            </w:tcBorders>
            <w:shd w:val="clear" w:color="auto" w:fill="auto"/>
          </w:tcPr>
          <w:p w14:paraId="0FE8B561" w14:textId="77777777" w:rsidR="003F63B7" w:rsidRPr="00010B3C" w:rsidRDefault="003F63B7" w:rsidP="003F63B7">
            <w:pPr>
              <w:spacing w:before="60" w:after="60"/>
              <w:jc w:val="center"/>
              <w:rPr>
                <w:szCs w:val="24"/>
              </w:rPr>
            </w:pPr>
            <w:r w:rsidRPr="00010B3C">
              <w:rPr>
                <w:szCs w:val="24"/>
              </w:rPr>
              <w:t>.8</w:t>
            </w:r>
          </w:p>
        </w:tc>
        <w:tc>
          <w:tcPr>
            <w:tcW w:w="1920" w:type="dxa"/>
            <w:tcBorders>
              <w:top w:val="nil"/>
              <w:left w:val="nil"/>
              <w:right w:val="nil"/>
            </w:tcBorders>
            <w:shd w:val="clear" w:color="auto" w:fill="auto"/>
          </w:tcPr>
          <w:p w14:paraId="6D8314F0" w14:textId="77777777" w:rsidR="003F63B7" w:rsidRPr="00010B3C" w:rsidRDefault="003F63B7" w:rsidP="003F63B7">
            <w:pPr>
              <w:tabs>
                <w:tab w:val="decimal" w:pos="612"/>
              </w:tabs>
              <w:spacing w:before="60" w:after="60"/>
              <w:rPr>
                <w:szCs w:val="24"/>
              </w:rPr>
            </w:pPr>
            <w:r w:rsidRPr="00010B3C">
              <w:rPr>
                <w:szCs w:val="24"/>
              </w:rPr>
              <w:t>16</w:t>
            </w:r>
          </w:p>
        </w:tc>
      </w:tr>
    </w:tbl>
    <w:p w14:paraId="6ECB16A9" w14:textId="77777777" w:rsidR="003F63B7" w:rsidRPr="00467C20" w:rsidRDefault="003F63B7" w:rsidP="003F63B7">
      <w:pPr>
        <w:spacing w:before="60" w:after="60"/>
      </w:pPr>
      <w:r>
        <w:t xml:space="preserve">Cohen’s </w:t>
      </w:r>
      <w:r w:rsidRPr="00467C20">
        <w:rPr>
          <w:i/>
        </w:rPr>
        <w:t>d</w:t>
      </w:r>
      <w:r>
        <w:t xml:space="preserve"> is not influenced by the ratio of </w:t>
      </w:r>
      <w:r w:rsidRPr="00467C20">
        <w:rPr>
          <w:i/>
        </w:rPr>
        <w:t>n</w:t>
      </w:r>
      <w:r w:rsidRPr="00467C20">
        <w:rPr>
          <w:i/>
          <w:vertAlign w:val="subscript"/>
        </w:rPr>
        <w:t>1</w:t>
      </w:r>
      <w:r>
        <w:t xml:space="preserve"> to </w:t>
      </w:r>
      <w:r w:rsidRPr="00467C20">
        <w:rPr>
          <w:i/>
        </w:rPr>
        <w:t>n</w:t>
      </w:r>
      <w:r w:rsidRPr="00467C20">
        <w:rPr>
          <w:i/>
          <w:vertAlign w:val="subscript"/>
        </w:rPr>
        <w:t>2</w:t>
      </w:r>
      <w:r>
        <w:t xml:space="preserve">, but </w:t>
      </w:r>
      <w:proofErr w:type="spellStart"/>
      <w:r w:rsidRPr="00467C20">
        <w:rPr>
          <w:i/>
        </w:rPr>
        <w:t>r</w:t>
      </w:r>
      <w:r w:rsidRPr="00467C20">
        <w:rPr>
          <w:i/>
          <w:vertAlign w:val="subscript"/>
        </w:rPr>
        <w:t>pb</w:t>
      </w:r>
      <w:proofErr w:type="spellEnd"/>
      <w:r>
        <w:t xml:space="preserve"> and eta-squared are.</w:t>
      </w:r>
    </w:p>
    <w:p w14:paraId="00314709" w14:textId="77777777" w:rsidR="003F63B7" w:rsidRPr="00D12C09" w:rsidRDefault="003F63B7" w:rsidP="003F63B7">
      <w:pPr>
        <w:spacing w:before="60" w:after="60"/>
      </w:pPr>
    </w:p>
    <w:p w14:paraId="7D7EDEA3" w14:textId="77777777" w:rsidR="003F63B7" w:rsidRPr="007C2F52" w:rsidRDefault="003F63B7" w:rsidP="003F63B7">
      <w:pPr>
        <w:spacing w:before="60" w:after="60"/>
        <w:rPr>
          <w:b/>
          <w:sz w:val="28"/>
          <w:szCs w:val="28"/>
        </w:rPr>
      </w:pPr>
      <w:r w:rsidRPr="007C2F52">
        <w:rPr>
          <w:b/>
          <w:sz w:val="28"/>
          <w:szCs w:val="28"/>
        </w:rPr>
        <w:t>Pearson Correlation Coefficient</w:t>
      </w:r>
    </w:p>
    <w:p w14:paraId="0730002A" w14:textId="77777777" w:rsidR="003F63B7" w:rsidRDefault="003F63B7" w:rsidP="003F63B7">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200"/>
        <w:gridCol w:w="1920"/>
      </w:tblGrid>
      <w:tr w:rsidR="003F63B7" w:rsidRPr="00010B3C" w14:paraId="53082727" w14:textId="77777777" w:rsidTr="003F63B7">
        <w:tc>
          <w:tcPr>
            <w:tcW w:w="2268" w:type="dxa"/>
            <w:tcBorders>
              <w:left w:val="nil"/>
              <w:bottom w:val="single" w:sz="4" w:space="0" w:color="auto"/>
              <w:right w:val="nil"/>
            </w:tcBorders>
            <w:shd w:val="clear" w:color="auto" w:fill="auto"/>
          </w:tcPr>
          <w:p w14:paraId="5783112A" w14:textId="77777777" w:rsidR="003F63B7" w:rsidRPr="00010B3C" w:rsidRDefault="003F63B7" w:rsidP="003F63B7">
            <w:pPr>
              <w:spacing w:before="60" w:after="60"/>
              <w:rPr>
                <w:szCs w:val="24"/>
              </w:rPr>
            </w:pPr>
            <w:r w:rsidRPr="00010B3C">
              <w:rPr>
                <w:szCs w:val="24"/>
              </w:rPr>
              <w:t>Size of effect</w:t>
            </w:r>
          </w:p>
        </w:tc>
        <w:tc>
          <w:tcPr>
            <w:tcW w:w="1200" w:type="dxa"/>
            <w:tcBorders>
              <w:left w:val="nil"/>
              <w:bottom w:val="single" w:sz="4" w:space="0" w:color="auto"/>
              <w:right w:val="nil"/>
            </w:tcBorders>
            <w:shd w:val="clear" w:color="auto" w:fill="auto"/>
          </w:tcPr>
          <w:p w14:paraId="5A366427" w14:textId="77777777" w:rsidR="003F63B7" w:rsidRPr="00010B3C" w:rsidRDefault="003F63B7" w:rsidP="003F63B7">
            <w:pPr>
              <w:spacing w:before="60" w:after="60"/>
              <w:jc w:val="center"/>
              <w:rPr>
                <w:szCs w:val="24"/>
              </w:rPr>
            </w:pPr>
            <w:r w:rsidRPr="00010B3C">
              <w:rPr>
                <w:rFonts w:cs="Arial"/>
                <w:i/>
                <w:szCs w:val="24"/>
              </w:rPr>
              <w:t>ρ</w:t>
            </w:r>
          </w:p>
        </w:tc>
        <w:tc>
          <w:tcPr>
            <w:tcW w:w="1920" w:type="dxa"/>
            <w:tcBorders>
              <w:left w:val="nil"/>
              <w:bottom w:val="single" w:sz="4" w:space="0" w:color="auto"/>
              <w:right w:val="nil"/>
            </w:tcBorders>
            <w:shd w:val="clear" w:color="auto" w:fill="auto"/>
          </w:tcPr>
          <w:p w14:paraId="73AD1B95" w14:textId="77777777" w:rsidR="003F63B7" w:rsidRPr="00010B3C" w:rsidRDefault="003F63B7" w:rsidP="003F63B7">
            <w:pPr>
              <w:spacing w:before="60" w:after="60"/>
              <w:jc w:val="center"/>
              <w:rPr>
                <w:szCs w:val="24"/>
              </w:rPr>
            </w:pPr>
            <w:r w:rsidRPr="00010B3C">
              <w:rPr>
                <w:szCs w:val="24"/>
              </w:rPr>
              <w:t>% variance</w:t>
            </w:r>
          </w:p>
        </w:tc>
      </w:tr>
      <w:tr w:rsidR="003F63B7" w:rsidRPr="00010B3C" w14:paraId="15F9A210" w14:textId="77777777" w:rsidTr="003F63B7">
        <w:tc>
          <w:tcPr>
            <w:tcW w:w="2268" w:type="dxa"/>
            <w:tcBorders>
              <w:left w:val="nil"/>
              <w:bottom w:val="nil"/>
              <w:right w:val="nil"/>
            </w:tcBorders>
            <w:shd w:val="clear" w:color="auto" w:fill="auto"/>
          </w:tcPr>
          <w:p w14:paraId="7AD2DF1A" w14:textId="77777777" w:rsidR="003F63B7" w:rsidRPr="00010B3C" w:rsidRDefault="003F63B7" w:rsidP="003F63B7">
            <w:pPr>
              <w:spacing w:before="60" w:after="60"/>
              <w:rPr>
                <w:szCs w:val="24"/>
              </w:rPr>
            </w:pPr>
            <w:r w:rsidRPr="00010B3C">
              <w:rPr>
                <w:szCs w:val="24"/>
              </w:rPr>
              <w:t>small</w:t>
            </w:r>
          </w:p>
        </w:tc>
        <w:tc>
          <w:tcPr>
            <w:tcW w:w="1200" w:type="dxa"/>
            <w:tcBorders>
              <w:left w:val="nil"/>
              <w:bottom w:val="nil"/>
              <w:right w:val="nil"/>
            </w:tcBorders>
            <w:shd w:val="clear" w:color="auto" w:fill="auto"/>
          </w:tcPr>
          <w:p w14:paraId="06C5E3C8" w14:textId="77777777" w:rsidR="003F63B7" w:rsidRPr="00010B3C" w:rsidRDefault="003F63B7" w:rsidP="003F63B7">
            <w:pPr>
              <w:spacing w:before="60" w:after="60"/>
              <w:jc w:val="center"/>
              <w:rPr>
                <w:szCs w:val="24"/>
              </w:rPr>
            </w:pPr>
            <w:r w:rsidRPr="00010B3C">
              <w:rPr>
                <w:szCs w:val="24"/>
              </w:rPr>
              <w:t>.1</w:t>
            </w:r>
          </w:p>
        </w:tc>
        <w:tc>
          <w:tcPr>
            <w:tcW w:w="1920" w:type="dxa"/>
            <w:tcBorders>
              <w:left w:val="nil"/>
              <w:bottom w:val="nil"/>
              <w:right w:val="nil"/>
            </w:tcBorders>
            <w:shd w:val="clear" w:color="auto" w:fill="auto"/>
          </w:tcPr>
          <w:p w14:paraId="70C02288" w14:textId="77777777" w:rsidR="003F63B7" w:rsidRPr="00010B3C" w:rsidRDefault="003F63B7" w:rsidP="003F63B7">
            <w:pPr>
              <w:tabs>
                <w:tab w:val="decimal" w:pos="612"/>
              </w:tabs>
              <w:spacing w:before="60" w:after="60"/>
              <w:rPr>
                <w:szCs w:val="24"/>
              </w:rPr>
            </w:pPr>
            <w:r w:rsidRPr="00010B3C">
              <w:rPr>
                <w:szCs w:val="24"/>
              </w:rPr>
              <w:t>1</w:t>
            </w:r>
          </w:p>
        </w:tc>
      </w:tr>
      <w:tr w:rsidR="003F63B7" w:rsidRPr="00010B3C" w14:paraId="1F8BFCA3" w14:textId="77777777" w:rsidTr="003F63B7">
        <w:tc>
          <w:tcPr>
            <w:tcW w:w="2268" w:type="dxa"/>
            <w:tcBorders>
              <w:top w:val="nil"/>
              <w:left w:val="nil"/>
              <w:bottom w:val="nil"/>
              <w:right w:val="nil"/>
            </w:tcBorders>
            <w:shd w:val="clear" w:color="auto" w:fill="auto"/>
          </w:tcPr>
          <w:p w14:paraId="24CAED98" w14:textId="77777777" w:rsidR="003F63B7" w:rsidRPr="00010B3C" w:rsidRDefault="003F63B7" w:rsidP="003F63B7">
            <w:pPr>
              <w:spacing w:before="60" w:after="60"/>
              <w:rPr>
                <w:szCs w:val="24"/>
              </w:rPr>
            </w:pPr>
            <w:r w:rsidRPr="00010B3C">
              <w:rPr>
                <w:szCs w:val="24"/>
              </w:rPr>
              <w:t>medium</w:t>
            </w:r>
          </w:p>
        </w:tc>
        <w:tc>
          <w:tcPr>
            <w:tcW w:w="1200" w:type="dxa"/>
            <w:tcBorders>
              <w:top w:val="nil"/>
              <w:left w:val="nil"/>
              <w:bottom w:val="nil"/>
              <w:right w:val="nil"/>
            </w:tcBorders>
            <w:shd w:val="clear" w:color="auto" w:fill="auto"/>
          </w:tcPr>
          <w:p w14:paraId="1809B963" w14:textId="77777777" w:rsidR="003F63B7" w:rsidRPr="00010B3C" w:rsidRDefault="003F63B7" w:rsidP="003F63B7">
            <w:pPr>
              <w:spacing w:before="60" w:after="60"/>
              <w:jc w:val="center"/>
              <w:rPr>
                <w:szCs w:val="24"/>
              </w:rPr>
            </w:pPr>
            <w:r w:rsidRPr="00010B3C">
              <w:rPr>
                <w:szCs w:val="24"/>
              </w:rPr>
              <w:t>.3</w:t>
            </w:r>
          </w:p>
        </w:tc>
        <w:tc>
          <w:tcPr>
            <w:tcW w:w="1920" w:type="dxa"/>
            <w:tcBorders>
              <w:top w:val="nil"/>
              <w:left w:val="nil"/>
              <w:bottom w:val="nil"/>
              <w:right w:val="nil"/>
            </w:tcBorders>
            <w:shd w:val="clear" w:color="auto" w:fill="auto"/>
          </w:tcPr>
          <w:p w14:paraId="4819C449" w14:textId="77777777" w:rsidR="003F63B7" w:rsidRPr="00010B3C" w:rsidRDefault="003F63B7" w:rsidP="003F63B7">
            <w:pPr>
              <w:tabs>
                <w:tab w:val="decimal" w:pos="612"/>
              </w:tabs>
              <w:spacing w:before="60" w:after="60"/>
              <w:rPr>
                <w:szCs w:val="24"/>
              </w:rPr>
            </w:pPr>
            <w:r w:rsidRPr="00010B3C">
              <w:rPr>
                <w:szCs w:val="24"/>
              </w:rPr>
              <w:t>9</w:t>
            </w:r>
          </w:p>
        </w:tc>
      </w:tr>
      <w:tr w:rsidR="003F63B7" w:rsidRPr="00010B3C" w14:paraId="3602A252" w14:textId="77777777" w:rsidTr="003F63B7">
        <w:tc>
          <w:tcPr>
            <w:tcW w:w="2268" w:type="dxa"/>
            <w:tcBorders>
              <w:top w:val="nil"/>
              <w:left w:val="nil"/>
              <w:right w:val="nil"/>
            </w:tcBorders>
            <w:shd w:val="clear" w:color="auto" w:fill="auto"/>
          </w:tcPr>
          <w:p w14:paraId="5867C411" w14:textId="77777777" w:rsidR="003F63B7" w:rsidRPr="00010B3C" w:rsidRDefault="003F63B7" w:rsidP="003F63B7">
            <w:pPr>
              <w:spacing w:before="60" w:after="60"/>
              <w:rPr>
                <w:szCs w:val="24"/>
              </w:rPr>
            </w:pPr>
            <w:r w:rsidRPr="00010B3C">
              <w:rPr>
                <w:szCs w:val="24"/>
              </w:rPr>
              <w:t>large</w:t>
            </w:r>
          </w:p>
        </w:tc>
        <w:tc>
          <w:tcPr>
            <w:tcW w:w="1200" w:type="dxa"/>
            <w:tcBorders>
              <w:top w:val="nil"/>
              <w:left w:val="nil"/>
              <w:right w:val="nil"/>
            </w:tcBorders>
            <w:shd w:val="clear" w:color="auto" w:fill="auto"/>
          </w:tcPr>
          <w:p w14:paraId="1FD9ABA0" w14:textId="77777777" w:rsidR="003F63B7" w:rsidRPr="00010B3C" w:rsidRDefault="003F63B7" w:rsidP="003F63B7">
            <w:pPr>
              <w:spacing w:before="60" w:after="60"/>
              <w:jc w:val="center"/>
              <w:rPr>
                <w:szCs w:val="24"/>
              </w:rPr>
            </w:pPr>
            <w:r w:rsidRPr="00010B3C">
              <w:rPr>
                <w:szCs w:val="24"/>
              </w:rPr>
              <w:t>.5</w:t>
            </w:r>
          </w:p>
        </w:tc>
        <w:tc>
          <w:tcPr>
            <w:tcW w:w="1920" w:type="dxa"/>
            <w:tcBorders>
              <w:top w:val="nil"/>
              <w:left w:val="nil"/>
              <w:right w:val="nil"/>
            </w:tcBorders>
            <w:shd w:val="clear" w:color="auto" w:fill="auto"/>
          </w:tcPr>
          <w:p w14:paraId="7C99DEBB" w14:textId="77777777" w:rsidR="003F63B7" w:rsidRPr="00010B3C" w:rsidRDefault="003F63B7" w:rsidP="003F63B7">
            <w:pPr>
              <w:tabs>
                <w:tab w:val="decimal" w:pos="612"/>
              </w:tabs>
              <w:spacing w:before="60" w:after="60"/>
              <w:rPr>
                <w:szCs w:val="24"/>
              </w:rPr>
            </w:pPr>
            <w:r w:rsidRPr="00010B3C">
              <w:rPr>
                <w:szCs w:val="24"/>
              </w:rPr>
              <w:t>25</w:t>
            </w:r>
          </w:p>
        </w:tc>
      </w:tr>
    </w:tbl>
    <w:p w14:paraId="1E19FD55" w14:textId="77777777" w:rsidR="003F63B7" w:rsidRDefault="003F63B7" w:rsidP="003F63B7">
      <w:pPr>
        <w:spacing w:before="60" w:after="60"/>
      </w:pPr>
    </w:p>
    <w:p w14:paraId="66185BAD" w14:textId="77777777" w:rsidR="003F63B7" w:rsidRPr="00D12C09" w:rsidRDefault="003F63B7" w:rsidP="003F63B7">
      <w:pPr>
        <w:spacing w:before="60" w:after="60"/>
        <w:rPr>
          <w:b/>
          <w:sz w:val="28"/>
          <w:szCs w:val="28"/>
        </w:rPr>
      </w:pPr>
      <w:r>
        <w:br w:type="page"/>
      </w:r>
      <w:r w:rsidRPr="00D12C09">
        <w:rPr>
          <w:b/>
          <w:sz w:val="28"/>
          <w:szCs w:val="28"/>
        </w:rPr>
        <w:lastRenderedPageBreak/>
        <w:t>Contingency Table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200"/>
        <w:gridCol w:w="1920"/>
      </w:tblGrid>
      <w:tr w:rsidR="003F63B7" w:rsidRPr="00010B3C" w14:paraId="7482F36D" w14:textId="77777777" w:rsidTr="003F63B7">
        <w:tc>
          <w:tcPr>
            <w:tcW w:w="2268" w:type="dxa"/>
            <w:tcBorders>
              <w:left w:val="nil"/>
              <w:bottom w:val="single" w:sz="4" w:space="0" w:color="auto"/>
              <w:right w:val="nil"/>
            </w:tcBorders>
            <w:shd w:val="clear" w:color="auto" w:fill="auto"/>
          </w:tcPr>
          <w:p w14:paraId="4F81E5B9" w14:textId="77777777" w:rsidR="003F63B7" w:rsidRPr="00010B3C" w:rsidRDefault="003F63B7" w:rsidP="003F63B7">
            <w:pPr>
              <w:spacing w:before="60" w:after="60"/>
              <w:rPr>
                <w:szCs w:val="24"/>
              </w:rPr>
            </w:pPr>
            <w:r w:rsidRPr="00010B3C">
              <w:rPr>
                <w:szCs w:val="24"/>
              </w:rPr>
              <w:t>Size of effect</w:t>
            </w:r>
          </w:p>
        </w:tc>
        <w:tc>
          <w:tcPr>
            <w:tcW w:w="1200" w:type="dxa"/>
            <w:tcBorders>
              <w:left w:val="nil"/>
              <w:bottom w:val="single" w:sz="4" w:space="0" w:color="auto"/>
              <w:right w:val="nil"/>
            </w:tcBorders>
            <w:shd w:val="clear" w:color="auto" w:fill="auto"/>
          </w:tcPr>
          <w:p w14:paraId="4556B6EF" w14:textId="77777777" w:rsidR="003F63B7" w:rsidRPr="00010B3C" w:rsidRDefault="003F63B7" w:rsidP="003F63B7">
            <w:pPr>
              <w:spacing w:before="60" w:after="60"/>
              <w:jc w:val="center"/>
              <w:rPr>
                <w:szCs w:val="24"/>
              </w:rPr>
            </w:pPr>
            <w:r w:rsidRPr="00010B3C">
              <w:rPr>
                <w:i/>
                <w:szCs w:val="24"/>
              </w:rPr>
              <w:t>w</w:t>
            </w:r>
            <w:r w:rsidRPr="00010B3C">
              <w:rPr>
                <w:szCs w:val="24"/>
              </w:rPr>
              <w:t xml:space="preserve"> = </w:t>
            </w:r>
            <w:r w:rsidRPr="00010B3C">
              <w:rPr>
                <w:szCs w:val="24"/>
              </w:rPr>
              <w:sym w:font="Symbol" w:char="F066"/>
            </w:r>
          </w:p>
        </w:tc>
        <w:tc>
          <w:tcPr>
            <w:tcW w:w="1920" w:type="dxa"/>
            <w:tcBorders>
              <w:left w:val="nil"/>
              <w:bottom w:val="single" w:sz="4" w:space="0" w:color="auto"/>
              <w:right w:val="nil"/>
            </w:tcBorders>
            <w:shd w:val="clear" w:color="auto" w:fill="auto"/>
          </w:tcPr>
          <w:p w14:paraId="2AB4C8AA" w14:textId="77777777" w:rsidR="003F63B7" w:rsidRPr="00010B3C" w:rsidRDefault="003F63B7" w:rsidP="003F63B7">
            <w:pPr>
              <w:spacing w:before="60" w:after="60"/>
              <w:jc w:val="center"/>
              <w:rPr>
                <w:szCs w:val="24"/>
              </w:rPr>
            </w:pPr>
            <w:r w:rsidRPr="00010B3C">
              <w:rPr>
                <w:szCs w:val="24"/>
              </w:rPr>
              <w:t>odds ratio*</w:t>
            </w:r>
          </w:p>
        </w:tc>
      </w:tr>
      <w:tr w:rsidR="003F63B7" w:rsidRPr="00010B3C" w14:paraId="25E8FC48" w14:textId="77777777" w:rsidTr="003F63B7">
        <w:tc>
          <w:tcPr>
            <w:tcW w:w="2268" w:type="dxa"/>
            <w:tcBorders>
              <w:left w:val="nil"/>
              <w:bottom w:val="nil"/>
              <w:right w:val="nil"/>
            </w:tcBorders>
            <w:shd w:val="clear" w:color="auto" w:fill="auto"/>
          </w:tcPr>
          <w:p w14:paraId="5EC19C59" w14:textId="77777777" w:rsidR="003F63B7" w:rsidRPr="00010B3C" w:rsidRDefault="003F63B7" w:rsidP="003F63B7">
            <w:pPr>
              <w:spacing w:before="60" w:after="60"/>
              <w:rPr>
                <w:szCs w:val="24"/>
              </w:rPr>
            </w:pPr>
            <w:r w:rsidRPr="00010B3C">
              <w:rPr>
                <w:szCs w:val="24"/>
              </w:rPr>
              <w:t>small</w:t>
            </w:r>
          </w:p>
        </w:tc>
        <w:tc>
          <w:tcPr>
            <w:tcW w:w="1200" w:type="dxa"/>
            <w:tcBorders>
              <w:left w:val="nil"/>
              <w:bottom w:val="nil"/>
              <w:right w:val="nil"/>
            </w:tcBorders>
            <w:shd w:val="clear" w:color="auto" w:fill="auto"/>
          </w:tcPr>
          <w:p w14:paraId="4497F6FF" w14:textId="77777777" w:rsidR="003F63B7" w:rsidRPr="00010B3C" w:rsidRDefault="003F63B7" w:rsidP="003F63B7">
            <w:pPr>
              <w:spacing w:before="60" w:after="60"/>
              <w:jc w:val="center"/>
              <w:rPr>
                <w:szCs w:val="24"/>
              </w:rPr>
            </w:pPr>
            <w:r w:rsidRPr="00010B3C">
              <w:rPr>
                <w:szCs w:val="24"/>
              </w:rPr>
              <w:t>.1</w:t>
            </w:r>
          </w:p>
        </w:tc>
        <w:tc>
          <w:tcPr>
            <w:tcW w:w="1920" w:type="dxa"/>
            <w:tcBorders>
              <w:left w:val="nil"/>
              <w:bottom w:val="nil"/>
              <w:right w:val="nil"/>
            </w:tcBorders>
            <w:shd w:val="clear" w:color="auto" w:fill="auto"/>
          </w:tcPr>
          <w:p w14:paraId="14EB675C" w14:textId="77777777" w:rsidR="003F63B7" w:rsidRPr="00010B3C" w:rsidRDefault="003F63B7" w:rsidP="003F63B7">
            <w:pPr>
              <w:tabs>
                <w:tab w:val="decimal" w:pos="612"/>
              </w:tabs>
              <w:spacing w:before="60" w:after="60"/>
              <w:rPr>
                <w:szCs w:val="24"/>
              </w:rPr>
            </w:pPr>
            <w:r w:rsidRPr="00010B3C">
              <w:rPr>
                <w:szCs w:val="24"/>
              </w:rPr>
              <w:t>1.49</w:t>
            </w:r>
          </w:p>
        </w:tc>
      </w:tr>
      <w:tr w:rsidR="003F63B7" w:rsidRPr="00010B3C" w14:paraId="536EDFB5" w14:textId="77777777" w:rsidTr="003F63B7">
        <w:tc>
          <w:tcPr>
            <w:tcW w:w="2268" w:type="dxa"/>
            <w:tcBorders>
              <w:top w:val="nil"/>
              <w:left w:val="nil"/>
              <w:bottom w:val="nil"/>
              <w:right w:val="nil"/>
            </w:tcBorders>
            <w:shd w:val="clear" w:color="auto" w:fill="auto"/>
          </w:tcPr>
          <w:p w14:paraId="7623110C" w14:textId="77777777" w:rsidR="003F63B7" w:rsidRPr="00010B3C" w:rsidRDefault="003F63B7" w:rsidP="003F63B7">
            <w:pPr>
              <w:spacing w:before="60" w:after="60"/>
              <w:rPr>
                <w:szCs w:val="24"/>
              </w:rPr>
            </w:pPr>
            <w:r w:rsidRPr="00010B3C">
              <w:rPr>
                <w:szCs w:val="24"/>
              </w:rPr>
              <w:t>medium</w:t>
            </w:r>
          </w:p>
        </w:tc>
        <w:tc>
          <w:tcPr>
            <w:tcW w:w="1200" w:type="dxa"/>
            <w:tcBorders>
              <w:top w:val="nil"/>
              <w:left w:val="nil"/>
              <w:bottom w:val="nil"/>
              <w:right w:val="nil"/>
            </w:tcBorders>
            <w:shd w:val="clear" w:color="auto" w:fill="auto"/>
          </w:tcPr>
          <w:p w14:paraId="3A51F0B9" w14:textId="77777777" w:rsidR="003F63B7" w:rsidRPr="00010B3C" w:rsidRDefault="003F63B7" w:rsidP="003F63B7">
            <w:pPr>
              <w:spacing w:before="60" w:after="60"/>
              <w:jc w:val="center"/>
              <w:rPr>
                <w:szCs w:val="24"/>
              </w:rPr>
            </w:pPr>
            <w:r w:rsidRPr="00010B3C">
              <w:rPr>
                <w:szCs w:val="24"/>
              </w:rPr>
              <w:t>.3</w:t>
            </w:r>
          </w:p>
        </w:tc>
        <w:tc>
          <w:tcPr>
            <w:tcW w:w="1920" w:type="dxa"/>
            <w:tcBorders>
              <w:top w:val="nil"/>
              <w:left w:val="nil"/>
              <w:bottom w:val="nil"/>
              <w:right w:val="nil"/>
            </w:tcBorders>
            <w:shd w:val="clear" w:color="auto" w:fill="auto"/>
          </w:tcPr>
          <w:p w14:paraId="748CAA51" w14:textId="77777777" w:rsidR="003F63B7" w:rsidRPr="00010B3C" w:rsidRDefault="003F63B7" w:rsidP="003F63B7">
            <w:pPr>
              <w:tabs>
                <w:tab w:val="decimal" w:pos="612"/>
              </w:tabs>
              <w:spacing w:before="60" w:after="60"/>
              <w:rPr>
                <w:szCs w:val="24"/>
              </w:rPr>
            </w:pPr>
            <w:r w:rsidRPr="00010B3C">
              <w:rPr>
                <w:szCs w:val="24"/>
              </w:rPr>
              <w:t>3.45</w:t>
            </w:r>
          </w:p>
        </w:tc>
      </w:tr>
      <w:tr w:rsidR="003F63B7" w:rsidRPr="00010B3C" w14:paraId="6D3F17FC" w14:textId="77777777" w:rsidTr="003F63B7">
        <w:tc>
          <w:tcPr>
            <w:tcW w:w="2268" w:type="dxa"/>
            <w:tcBorders>
              <w:top w:val="nil"/>
              <w:left w:val="nil"/>
              <w:right w:val="nil"/>
            </w:tcBorders>
            <w:shd w:val="clear" w:color="auto" w:fill="auto"/>
          </w:tcPr>
          <w:p w14:paraId="5F890D60" w14:textId="77777777" w:rsidR="003F63B7" w:rsidRPr="00010B3C" w:rsidRDefault="003F63B7" w:rsidP="003F63B7">
            <w:pPr>
              <w:spacing w:before="60" w:after="60"/>
              <w:rPr>
                <w:szCs w:val="24"/>
              </w:rPr>
            </w:pPr>
            <w:r w:rsidRPr="00010B3C">
              <w:rPr>
                <w:szCs w:val="24"/>
              </w:rPr>
              <w:t>large</w:t>
            </w:r>
          </w:p>
        </w:tc>
        <w:tc>
          <w:tcPr>
            <w:tcW w:w="1200" w:type="dxa"/>
            <w:tcBorders>
              <w:top w:val="nil"/>
              <w:left w:val="nil"/>
              <w:right w:val="nil"/>
            </w:tcBorders>
            <w:shd w:val="clear" w:color="auto" w:fill="auto"/>
          </w:tcPr>
          <w:p w14:paraId="27D307EC" w14:textId="77777777" w:rsidR="003F63B7" w:rsidRPr="00010B3C" w:rsidRDefault="003F63B7" w:rsidP="003F63B7">
            <w:pPr>
              <w:spacing w:before="60" w:after="60"/>
              <w:jc w:val="center"/>
              <w:rPr>
                <w:szCs w:val="24"/>
              </w:rPr>
            </w:pPr>
            <w:r w:rsidRPr="00010B3C">
              <w:rPr>
                <w:szCs w:val="24"/>
              </w:rPr>
              <w:t>.5</w:t>
            </w:r>
          </w:p>
        </w:tc>
        <w:tc>
          <w:tcPr>
            <w:tcW w:w="1920" w:type="dxa"/>
            <w:tcBorders>
              <w:top w:val="nil"/>
              <w:left w:val="nil"/>
              <w:right w:val="nil"/>
            </w:tcBorders>
            <w:shd w:val="clear" w:color="auto" w:fill="auto"/>
          </w:tcPr>
          <w:p w14:paraId="65E3BFB9" w14:textId="77777777" w:rsidR="003F63B7" w:rsidRPr="00010B3C" w:rsidRDefault="003F63B7" w:rsidP="003F63B7">
            <w:pPr>
              <w:tabs>
                <w:tab w:val="decimal" w:pos="612"/>
              </w:tabs>
              <w:spacing w:before="60" w:after="60"/>
              <w:rPr>
                <w:szCs w:val="24"/>
              </w:rPr>
            </w:pPr>
            <w:r w:rsidRPr="00010B3C">
              <w:rPr>
                <w:szCs w:val="24"/>
              </w:rPr>
              <w:t>9</w:t>
            </w:r>
          </w:p>
        </w:tc>
      </w:tr>
    </w:tbl>
    <w:p w14:paraId="28882173" w14:textId="77777777" w:rsidR="003F63B7" w:rsidRDefault="003F63B7" w:rsidP="003F63B7">
      <w:pPr>
        <w:spacing w:before="60" w:after="60"/>
      </w:pPr>
      <w:r>
        <w:t>*For a 2 x 2 table with both marginals distributed uniformly.</w:t>
      </w:r>
    </w:p>
    <w:p w14:paraId="0977F8D8" w14:textId="77777777" w:rsidR="003F63B7" w:rsidRDefault="003F63B7" w:rsidP="003F63B7">
      <w:pPr>
        <w:spacing w:before="60" w:after="60"/>
      </w:pPr>
    </w:p>
    <w:p w14:paraId="5A92358F" w14:textId="77777777" w:rsidR="003F63B7" w:rsidRPr="00A11FA2" w:rsidRDefault="003F63B7" w:rsidP="003F63B7">
      <w:pPr>
        <w:spacing w:before="60" w:after="60"/>
        <w:rPr>
          <w:b/>
          <w:sz w:val="28"/>
          <w:szCs w:val="28"/>
        </w:rPr>
      </w:pPr>
      <w:r w:rsidRPr="00A11FA2">
        <w:rPr>
          <w:b/>
          <w:sz w:val="28"/>
          <w:szCs w:val="28"/>
        </w:rPr>
        <w:t>ANOVA Effect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200"/>
        <w:gridCol w:w="1920"/>
      </w:tblGrid>
      <w:tr w:rsidR="003F63B7" w:rsidRPr="00010B3C" w14:paraId="4B2B5176" w14:textId="77777777" w:rsidTr="003F63B7">
        <w:tc>
          <w:tcPr>
            <w:tcW w:w="2268" w:type="dxa"/>
            <w:tcBorders>
              <w:left w:val="nil"/>
              <w:bottom w:val="single" w:sz="4" w:space="0" w:color="auto"/>
              <w:right w:val="nil"/>
            </w:tcBorders>
            <w:shd w:val="clear" w:color="auto" w:fill="auto"/>
          </w:tcPr>
          <w:p w14:paraId="361D868B" w14:textId="77777777" w:rsidR="003F63B7" w:rsidRPr="00010B3C" w:rsidRDefault="003F63B7" w:rsidP="003F63B7">
            <w:pPr>
              <w:spacing w:before="60" w:after="60"/>
              <w:rPr>
                <w:szCs w:val="24"/>
              </w:rPr>
            </w:pPr>
            <w:r w:rsidRPr="00010B3C">
              <w:rPr>
                <w:szCs w:val="24"/>
              </w:rPr>
              <w:t>Size of effect</w:t>
            </w:r>
          </w:p>
        </w:tc>
        <w:tc>
          <w:tcPr>
            <w:tcW w:w="1200" w:type="dxa"/>
            <w:tcBorders>
              <w:left w:val="nil"/>
              <w:bottom w:val="single" w:sz="4" w:space="0" w:color="auto"/>
              <w:right w:val="nil"/>
            </w:tcBorders>
            <w:shd w:val="clear" w:color="auto" w:fill="auto"/>
          </w:tcPr>
          <w:p w14:paraId="25BF42F0" w14:textId="77777777" w:rsidR="003F63B7" w:rsidRPr="00010B3C" w:rsidRDefault="003F63B7" w:rsidP="003F63B7">
            <w:pPr>
              <w:spacing w:before="60" w:after="60"/>
              <w:jc w:val="center"/>
              <w:rPr>
                <w:szCs w:val="24"/>
              </w:rPr>
            </w:pPr>
            <w:r w:rsidRPr="00010B3C">
              <w:rPr>
                <w:i/>
                <w:szCs w:val="24"/>
              </w:rPr>
              <w:t>f</w:t>
            </w:r>
          </w:p>
        </w:tc>
        <w:tc>
          <w:tcPr>
            <w:tcW w:w="1920" w:type="dxa"/>
            <w:tcBorders>
              <w:left w:val="nil"/>
              <w:bottom w:val="single" w:sz="4" w:space="0" w:color="auto"/>
              <w:right w:val="nil"/>
            </w:tcBorders>
            <w:shd w:val="clear" w:color="auto" w:fill="auto"/>
          </w:tcPr>
          <w:p w14:paraId="3577ACC2" w14:textId="77777777" w:rsidR="003F63B7" w:rsidRPr="00010B3C" w:rsidRDefault="003F63B7" w:rsidP="003F63B7">
            <w:pPr>
              <w:spacing w:before="60" w:after="60"/>
              <w:jc w:val="center"/>
              <w:rPr>
                <w:szCs w:val="24"/>
              </w:rPr>
            </w:pPr>
            <w:r w:rsidRPr="00010B3C">
              <w:rPr>
                <w:szCs w:val="24"/>
              </w:rPr>
              <w:t>% of variance</w:t>
            </w:r>
          </w:p>
        </w:tc>
      </w:tr>
      <w:tr w:rsidR="003F63B7" w:rsidRPr="00010B3C" w14:paraId="5ABC785B" w14:textId="77777777" w:rsidTr="003F63B7">
        <w:tc>
          <w:tcPr>
            <w:tcW w:w="2268" w:type="dxa"/>
            <w:tcBorders>
              <w:left w:val="nil"/>
              <w:bottom w:val="nil"/>
              <w:right w:val="nil"/>
            </w:tcBorders>
            <w:shd w:val="clear" w:color="auto" w:fill="auto"/>
          </w:tcPr>
          <w:p w14:paraId="57E1048A" w14:textId="77777777" w:rsidR="003F63B7" w:rsidRPr="00010B3C" w:rsidRDefault="003F63B7" w:rsidP="003F63B7">
            <w:pPr>
              <w:spacing w:before="60" w:after="60"/>
              <w:rPr>
                <w:szCs w:val="24"/>
              </w:rPr>
            </w:pPr>
            <w:r w:rsidRPr="00010B3C">
              <w:rPr>
                <w:szCs w:val="24"/>
              </w:rPr>
              <w:t>small</w:t>
            </w:r>
          </w:p>
        </w:tc>
        <w:tc>
          <w:tcPr>
            <w:tcW w:w="1200" w:type="dxa"/>
            <w:tcBorders>
              <w:left w:val="nil"/>
              <w:bottom w:val="nil"/>
              <w:right w:val="nil"/>
            </w:tcBorders>
            <w:shd w:val="clear" w:color="auto" w:fill="auto"/>
          </w:tcPr>
          <w:p w14:paraId="6E7818D1" w14:textId="77777777" w:rsidR="003F63B7" w:rsidRPr="00010B3C" w:rsidRDefault="003F63B7" w:rsidP="003F63B7">
            <w:pPr>
              <w:tabs>
                <w:tab w:val="decimal" w:pos="372"/>
              </w:tabs>
              <w:spacing w:before="60" w:after="60"/>
              <w:rPr>
                <w:szCs w:val="24"/>
              </w:rPr>
            </w:pPr>
            <w:r w:rsidRPr="00010B3C">
              <w:rPr>
                <w:szCs w:val="24"/>
              </w:rPr>
              <w:t>.1</w:t>
            </w:r>
          </w:p>
        </w:tc>
        <w:tc>
          <w:tcPr>
            <w:tcW w:w="1920" w:type="dxa"/>
            <w:tcBorders>
              <w:left w:val="nil"/>
              <w:bottom w:val="nil"/>
              <w:right w:val="nil"/>
            </w:tcBorders>
            <w:shd w:val="clear" w:color="auto" w:fill="auto"/>
          </w:tcPr>
          <w:p w14:paraId="105CFF57" w14:textId="77777777" w:rsidR="003F63B7" w:rsidRPr="00010B3C" w:rsidRDefault="003F63B7" w:rsidP="003F63B7">
            <w:pPr>
              <w:tabs>
                <w:tab w:val="decimal" w:pos="612"/>
              </w:tabs>
              <w:spacing w:before="60" w:after="60"/>
              <w:rPr>
                <w:szCs w:val="24"/>
              </w:rPr>
            </w:pPr>
            <w:r w:rsidRPr="00010B3C">
              <w:rPr>
                <w:szCs w:val="24"/>
              </w:rPr>
              <w:t>1</w:t>
            </w:r>
          </w:p>
        </w:tc>
      </w:tr>
      <w:tr w:rsidR="003F63B7" w:rsidRPr="00010B3C" w14:paraId="6777C665" w14:textId="77777777" w:rsidTr="003F63B7">
        <w:tc>
          <w:tcPr>
            <w:tcW w:w="2268" w:type="dxa"/>
            <w:tcBorders>
              <w:top w:val="nil"/>
              <w:left w:val="nil"/>
              <w:bottom w:val="nil"/>
              <w:right w:val="nil"/>
            </w:tcBorders>
            <w:shd w:val="clear" w:color="auto" w:fill="auto"/>
          </w:tcPr>
          <w:p w14:paraId="0B622D67" w14:textId="77777777" w:rsidR="003F63B7" w:rsidRPr="00010B3C" w:rsidRDefault="003F63B7" w:rsidP="003F63B7">
            <w:pPr>
              <w:spacing w:before="60" w:after="60"/>
              <w:rPr>
                <w:szCs w:val="24"/>
              </w:rPr>
            </w:pPr>
            <w:r w:rsidRPr="00010B3C">
              <w:rPr>
                <w:szCs w:val="24"/>
              </w:rPr>
              <w:t>medium</w:t>
            </w:r>
          </w:p>
        </w:tc>
        <w:tc>
          <w:tcPr>
            <w:tcW w:w="1200" w:type="dxa"/>
            <w:tcBorders>
              <w:top w:val="nil"/>
              <w:left w:val="nil"/>
              <w:bottom w:val="nil"/>
              <w:right w:val="nil"/>
            </w:tcBorders>
            <w:shd w:val="clear" w:color="auto" w:fill="auto"/>
          </w:tcPr>
          <w:p w14:paraId="507482F0" w14:textId="77777777" w:rsidR="003F63B7" w:rsidRPr="00010B3C" w:rsidRDefault="003F63B7" w:rsidP="003F63B7">
            <w:pPr>
              <w:tabs>
                <w:tab w:val="decimal" w:pos="372"/>
              </w:tabs>
              <w:spacing w:before="60" w:after="60"/>
              <w:rPr>
                <w:szCs w:val="24"/>
              </w:rPr>
            </w:pPr>
            <w:r w:rsidRPr="00010B3C">
              <w:rPr>
                <w:szCs w:val="24"/>
              </w:rPr>
              <w:t>.25</w:t>
            </w:r>
          </w:p>
        </w:tc>
        <w:tc>
          <w:tcPr>
            <w:tcW w:w="1920" w:type="dxa"/>
            <w:tcBorders>
              <w:top w:val="nil"/>
              <w:left w:val="nil"/>
              <w:bottom w:val="nil"/>
              <w:right w:val="nil"/>
            </w:tcBorders>
            <w:shd w:val="clear" w:color="auto" w:fill="auto"/>
          </w:tcPr>
          <w:p w14:paraId="20D005B5" w14:textId="77777777" w:rsidR="003F63B7" w:rsidRPr="00010B3C" w:rsidRDefault="003F63B7" w:rsidP="003F63B7">
            <w:pPr>
              <w:tabs>
                <w:tab w:val="decimal" w:pos="612"/>
              </w:tabs>
              <w:spacing w:before="60" w:after="60"/>
              <w:rPr>
                <w:szCs w:val="24"/>
              </w:rPr>
            </w:pPr>
            <w:r w:rsidRPr="00010B3C">
              <w:rPr>
                <w:szCs w:val="24"/>
              </w:rPr>
              <w:t>6</w:t>
            </w:r>
          </w:p>
        </w:tc>
      </w:tr>
      <w:tr w:rsidR="003F63B7" w:rsidRPr="00010B3C" w14:paraId="3777A000" w14:textId="77777777" w:rsidTr="003F63B7">
        <w:tc>
          <w:tcPr>
            <w:tcW w:w="2268" w:type="dxa"/>
            <w:tcBorders>
              <w:top w:val="nil"/>
              <w:left w:val="nil"/>
              <w:right w:val="nil"/>
            </w:tcBorders>
            <w:shd w:val="clear" w:color="auto" w:fill="auto"/>
          </w:tcPr>
          <w:p w14:paraId="79030221" w14:textId="77777777" w:rsidR="003F63B7" w:rsidRPr="00010B3C" w:rsidRDefault="003F63B7" w:rsidP="003F63B7">
            <w:pPr>
              <w:spacing w:before="60" w:after="60"/>
              <w:rPr>
                <w:szCs w:val="24"/>
              </w:rPr>
            </w:pPr>
            <w:r w:rsidRPr="00010B3C">
              <w:rPr>
                <w:szCs w:val="24"/>
              </w:rPr>
              <w:t>large</w:t>
            </w:r>
          </w:p>
        </w:tc>
        <w:tc>
          <w:tcPr>
            <w:tcW w:w="1200" w:type="dxa"/>
            <w:tcBorders>
              <w:top w:val="nil"/>
              <w:left w:val="nil"/>
              <w:right w:val="nil"/>
            </w:tcBorders>
            <w:shd w:val="clear" w:color="auto" w:fill="auto"/>
          </w:tcPr>
          <w:p w14:paraId="0375AC58" w14:textId="77777777" w:rsidR="003F63B7" w:rsidRPr="00010B3C" w:rsidRDefault="003F63B7" w:rsidP="003F63B7">
            <w:pPr>
              <w:tabs>
                <w:tab w:val="decimal" w:pos="372"/>
              </w:tabs>
              <w:spacing w:before="60" w:after="60"/>
              <w:rPr>
                <w:szCs w:val="24"/>
              </w:rPr>
            </w:pPr>
            <w:r w:rsidRPr="00010B3C">
              <w:rPr>
                <w:szCs w:val="24"/>
              </w:rPr>
              <w:t>.4</w:t>
            </w:r>
          </w:p>
        </w:tc>
        <w:tc>
          <w:tcPr>
            <w:tcW w:w="1920" w:type="dxa"/>
            <w:tcBorders>
              <w:top w:val="nil"/>
              <w:left w:val="nil"/>
              <w:right w:val="nil"/>
            </w:tcBorders>
            <w:shd w:val="clear" w:color="auto" w:fill="auto"/>
          </w:tcPr>
          <w:p w14:paraId="5461654A" w14:textId="77777777" w:rsidR="003F63B7" w:rsidRPr="00010B3C" w:rsidRDefault="003F63B7" w:rsidP="003F63B7">
            <w:pPr>
              <w:tabs>
                <w:tab w:val="decimal" w:pos="612"/>
              </w:tabs>
              <w:spacing w:before="60" w:after="60"/>
              <w:rPr>
                <w:szCs w:val="24"/>
              </w:rPr>
            </w:pPr>
            <w:r w:rsidRPr="00010B3C">
              <w:rPr>
                <w:szCs w:val="24"/>
              </w:rPr>
              <w:t>14</w:t>
            </w:r>
          </w:p>
        </w:tc>
      </w:tr>
    </w:tbl>
    <w:p w14:paraId="0341EADB" w14:textId="77777777" w:rsidR="003F63B7" w:rsidRDefault="003F63B7" w:rsidP="003F63B7">
      <w:pPr>
        <w:spacing w:before="60" w:after="60"/>
      </w:pPr>
    </w:p>
    <w:p w14:paraId="12DB98A5" w14:textId="77777777" w:rsidR="003F63B7" w:rsidRPr="00A11FA2" w:rsidRDefault="003F63B7" w:rsidP="003F63B7">
      <w:pPr>
        <w:spacing w:before="60" w:after="60"/>
        <w:rPr>
          <w:b/>
          <w:sz w:val="28"/>
          <w:szCs w:val="28"/>
          <w:vertAlign w:val="superscript"/>
        </w:rPr>
      </w:pPr>
      <w:r w:rsidRPr="00A11FA2">
        <w:rPr>
          <w:b/>
          <w:sz w:val="28"/>
          <w:szCs w:val="28"/>
        </w:rPr>
        <w:t xml:space="preserve">Multiple </w:t>
      </w:r>
      <w:r w:rsidRPr="00EE4BDC">
        <w:rPr>
          <w:b/>
          <w:i/>
          <w:sz w:val="28"/>
          <w:szCs w:val="28"/>
        </w:rPr>
        <w:t>R</w:t>
      </w:r>
      <w:r w:rsidRPr="00EE4BDC">
        <w:rPr>
          <w:b/>
          <w:i/>
          <w:sz w:val="28"/>
          <w:szCs w:val="28"/>
          <w:vertAlign w:val="superscript"/>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200"/>
        <w:gridCol w:w="1920"/>
      </w:tblGrid>
      <w:tr w:rsidR="003F63B7" w:rsidRPr="00010B3C" w14:paraId="6A98DC31" w14:textId="77777777" w:rsidTr="003F63B7">
        <w:tc>
          <w:tcPr>
            <w:tcW w:w="2268" w:type="dxa"/>
            <w:tcBorders>
              <w:left w:val="nil"/>
              <w:bottom w:val="single" w:sz="4" w:space="0" w:color="auto"/>
              <w:right w:val="nil"/>
            </w:tcBorders>
            <w:shd w:val="clear" w:color="auto" w:fill="auto"/>
          </w:tcPr>
          <w:p w14:paraId="0D7BB78E" w14:textId="77777777" w:rsidR="003F63B7" w:rsidRPr="00010B3C" w:rsidRDefault="003F63B7" w:rsidP="003F63B7">
            <w:pPr>
              <w:spacing w:before="60" w:after="60"/>
              <w:rPr>
                <w:szCs w:val="24"/>
              </w:rPr>
            </w:pPr>
            <w:r w:rsidRPr="00010B3C">
              <w:rPr>
                <w:szCs w:val="24"/>
              </w:rPr>
              <w:t>Size of effect</w:t>
            </w:r>
          </w:p>
        </w:tc>
        <w:tc>
          <w:tcPr>
            <w:tcW w:w="1200" w:type="dxa"/>
            <w:tcBorders>
              <w:left w:val="nil"/>
              <w:bottom w:val="single" w:sz="4" w:space="0" w:color="auto"/>
              <w:right w:val="nil"/>
            </w:tcBorders>
            <w:shd w:val="clear" w:color="auto" w:fill="auto"/>
          </w:tcPr>
          <w:p w14:paraId="5E3D833F" w14:textId="77777777" w:rsidR="003F63B7" w:rsidRPr="00010B3C" w:rsidRDefault="003F63B7" w:rsidP="003F63B7">
            <w:pPr>
              <w:spacing w:before="60" w:after="60"/>
              <w:jc w:val="center"/>
              <w:rPr>
                <w:szCs w:val="24"/>
                <w:vertAlign w:val="superscript"/>
              </w:rPr>
            </w:pPr>
            <w:r w:rsidRPr="00010B3C">
              <w:rPr>
                <w:i/>
                <w:szCs w:val="24"/>
              </w:rPr>
              <w:t>f</w:t>
            </w:r>
            <w:r w:rsidRPr="00010B3C">
              <w:rPr>
                <w:i/>
                <w:szCs w:val="24"/>
                <w:vertAlign w:val="superscript"/>
              </w:rPr>
              <w:t>2</w:t>
            </w:r>
          </w:p>
        </w:tc>
        <w:tc>
          <w:tcPr>
            <w:tcW w:w="1920" w:type="dxa"/>
            <w:tcBorders>
              <w:left w:val="nil"/>
              <w:bottom w:val="single" w:sz="4" w:space="0" w:color="auto"/>
              <w:right w:val="nil"/>
            </w:tcBorders>
            <w:shd w:val="clear" w:color="auto" w:fill="auto"/>
          </w:tcPr>
          <w:p w14:paraId="78E0FEB8" w14:textId="77777777" w:rsidR="003F63B7" w:rsidRPr="00010B3C" w:rsidRDefault="003F63B7" w:rsidP="003F63B7">
            <w:pPr>
              <w:spacing w:before="60" w:after="60"/>
              <w:jc w:val="center"/>
              <w:rPr>
                <w:szCs w:val="24"/>
              </w:rPr>
            </w:pPr>
            <w:r w:rsidRPr="00010B3C">
              <w:rPr>
                <w:szCs w:val="24"/>
              </w:rPr>
              <w:t>% of variance</w:t>
            </w:r>
          </w:p>
        </w:tc>
      </w:tr>
      <w:tr w:rsidR="003F63B7" w:rsidRPr="00010B3C" w14:paraId="07A0FB33" w14:textId="77777777" w:rsidTr="003F63B7">
        <w:tc>
          <w:tcPr>
            <w:tcW w:w="2268" w:type="dxa"/>
            <w:tcBorders>
              <w:left w:val="nil"/>
              <w:bottom w:val="nil"/>
              <w:right w:val="nil"/>
            </w:tcBorders>
            <w:shd w:val="clear" w:color="auto" w:fill="auto"/>
          </w:tcPr>
          <w:p w14:paraId="05442DAE" w14:textId="77777777" w:rsidR="003F63B7" w:rsidRPr="00010B3C" w:rsidRDefault="003F63B7" w:rsidP="003F63B7">
            <w:pPr>
              <w:spacing w:before="60" w:after="60"/>
              <w:rPr>
                <w:szCs w:val="24"/>
              </w:rPr>
            </w:pPr>
            <w:r w:rsidRPr="00010B3C">
              <w:rPr>
                <w:szCs w:val="24"/>
              </w:rPr>
              <w:t>small</w:t>
            </w:r>
          </w:p>
        </w:tc>
        <w:tc>
          <w:tcPr>
            <w:tcW w:w="1200" w:type="dxa"/>
            <w:tcBorders>
              <w:left w:val="nil"/>
              <w:bottom w:val="nil"/>
              <w:right w:val="nil"/>
            </w:tcBorders>
            <w:shd w:val="clear" w:color="auto" w:fill="auto"/>
          </w:tcPr>
          <w:p w14:paraId="23991294" w14:textId="77777777" w:rsidR="003F63B7" w:rsidRPr="00010B3C" w:rsidRDefault="003F63B7" w:rsidP="003F63B7">
            <w:pPr>
              <w:tabs>
                <w:tab w:val="decimal" w:pos="372"/>
              </w:tabs>
              <w:spacing w:before="60" w:after="60"/>
              <w:rPr>
                <w:szCs w:val="24"/>
              </w:rPr>
            </w:pPr>
            <w:r w:rsidRPr="00010B3C">
              <w:rPr>
                <w:szCs w:val="24"/>
              </w:rPr>
              <w:t>.02</w:t>
            </w:r>
          </w:p>
        </w:tc>
        <w:tc>
          <w:tcPr>
            <w:tcW w:w="1920" w:type="dxa"/>
            <w:tcBorders>
              <w:left w:val="nil"/>
              <w:bottom w:val="nil"/>
              <w:right w:val="nil"/>
            </w:tcBorders>
            <w:shd w:val="clear" w:color="auto" w:fill="auto"/>
          </w:tcPr>
          <w:p w14:paraId="426A6B3E" w14:textId="77777777" w:rsidR="003F63B7" w:rsidRPr="00010B3C" w:rsidRDefault="003F63B7" w:rsidP="003F63B7">
            <w:pPr>
              <w:tabs>
                <w:tab w:val="decimal" w:pos="612"/>
              </w:tabs>
              <w:spacing w:before="60" w:after="60"/>
              <w:rPr>
                <w:szCs w:val="24"/>
              </w:rPr>
            </w:pPr>
            <w:r w:rsidRPr="00010B3C">
              <w:rPr>
                <w:szCs w:val="24"/>
              </w:rPr>
              <w:t>2</w:t>
            </w:r>
          </w:p>
        </w:tc>
      </w:tr>
      <w:tr w:rsidR="003F63B7" w:rsidRPr="00010B3C" w14:paraId="22C6C568" w14:textId="77777777" w:rsidTr="003F63B7">
        <w:tc>
          <w:tcPr>
            <w:tcW w:w="2268" w:type="dxa"/>
            <w:tcBorders>
              <w:top w:val="nil"/>
              <w:left w:val="nil"/>
              <w:bottom w:val="nil"/>
              <w:right w:val="nil"/>
            </w:tcBorders>
            <w:shd w:val="clear" w:color="auto" w:fill="auto"/>
          </w:tcPr>
          <w:p w14:paraId="45D1868E" w14:textId="77777777" w:rsidR="003F63B7" w:rsidRPr="00010B3C" w:rsidRDefault="003F63B7" w:rsidP="003F63B7">
            <w:pPr>
              <w:spacing w:before="60" w:after="60"/>
              <w:rPr>
                <w:szCs w:val="24"/>
              </w:rPr>
            </w:pPr>
            <w:r w:rsidRPr="00010B3C">
              <w:rPr>
                <w:szCs w:val="24"/>
              </w:rPr>
              <w:t>medium</w:t>
            </w:r>
          </w:p>
        </w:tc>
        <w:tc>
          <w:tcPr>
            <w:tcW w:w="1200" w:type="dxa"/>
            <w:tcBorders>
              <w:top w:val="nil"/>
              <w:left w:val="nil"/>
              <w:bottom w:val="nil"/>
              <w:right w:val="nil"/>
            </w:tcBorders>
            <w:shd w:val="clear" w:color="auto" w:fill="auto"/>
          </w:tcPr>
          <w:p w14:paraId="1223C3D0" w14:textId="77777777" w:rsidR="003F63B7" w:rsidRPr="00010B3C" w:rsidRDefault="003F63B7" w:rsidP="003F63B7">
            <w:pPr>
              <w:tabs>
                <w:tab w:val="decimal" w:pos="372"/>
              </w:tabs>
              <w:spacing w:before="60" w:after="60"/>
              <w:rPr>
                <w:szCs w:val="24"/>
              </w:rPr>
            </w:pPr>
            <w:r w:rsidRPr="00010B3C">
              <w:rPr>
                <w:szCs w:val="24"/>
              </w:rPr>
              <w:t>.25</w:t>
            </w:r>
          </w:p>
        </w:tc>
        <w:tc>
          <w:tcPr>
            <w:tcW w:w="1920" w:type="dxa"/>
            <w:tcBorders>
              <w:top w:val="nil"/>
              <w:left w:val="nil"/>
              <w:bottom w:val="nil"/>
              <w:right w:val="nil"/>
            </w:tcBorders>
            <w:shd w:val="clear" w:color="auto" w:fill="auto"/>
          </w:tcPr>
          <w:p w14:paraId="011BCE52" w14:textId="77777777" w:rsidR="003F63B7" w:rsidRPr="00010B3C" w:rsidRDefault="003F63B7" w:rsidP="003F63B7">
            <w:pPr>
              <w:tabs>
                <w:tab w:val="decimal" w:pos="612"/>
              </w:tabs>
              <w:spacing w:before="60" w:after="60"/>
              <w:rPr>
                <w:szCs w:val="24"/>
              </w:rPr>
            </w:pPr>
            <w:r w:rsidRPr="00010B3C">
              <w:rPr>
                <w:szCs w:val="24"/>
              </w:rPr>
              <w:t>13</w:t>
            </w:r>
          </w:p>
        </w:tc>
      </w:tr>
      <w:tr w:rsidR="003F63B7" w:rsidRPr="00010B3C" w14:paraId="4322903B" w14:textId="77777777" w:rsidTr="003F63B7">
        <w:tc>
          <w:tcPr>
            <w:tcW w:w="2268" w:type="dxa"/>
            <w:tcBorders>
              <w:top w:val="nil"/>
              <w:left w:val="nil"/>
              <w:right w:val="nil"/>
            </w:tcBorders>
            <w:shd w:val="clear" w:color="auto" w:fill="auto"/>
          </w:tcPr>
          <w:p w14:paraId="3E8FE14D" w14:textId="77777777" w:rsidR="003F63B7" w:rsidRPr="00010B3C" w:rsidRDefault="003F63B7" w:rsidP="003F63B7">
            <w:pPr>
              <w:spacing w:before="60" w:after="60"/>
              <w:rPr>
                <w:szCs w:val="24"/>
              </w:rPr>
            </w:pPr>
            <w:r w:rsidRPr="00010B3C">
              <w:rPr>
                <w:szCs w:val="24"/>
              </w:rPr>
              <w:t>large</w:t>
            </w:r>
          </w:p>
        </w:tc>
        <w:tc>
          <w:tcPr>
            <w:tcW w:w="1200" w:type="dxa"/>
            <w:tcBorders>
              <w:top w:val="nil"/>
              <w:left w:val="nil"/>
              <w:right w:val="nil"/>
            </w:tcBorders>
            <w:shd w:val="clear" w:color="auto" w:fill="auto"/>
          </w:tcPr>
          <w:p w14:paraId="30C326FF" w14:textId="77777777" w:rsidR="003F63B7" w:rsidRPr="00010B3C" w:rsidRDefault="003F63B7" w:rsidP="003F63B7">
            <w:pPr>
              <w:tabs>
                <w:tab w:val="decimal" w:pos="372"/>
              </w:tabs>
              <w:spacing w:before="60" w:after="60"/>
              <w:rPr>
                <w:szCs w:val="24"/>
              </w:rPr>
            </w:pPr>
            <w:r w:rsidRPr="00010B3C">
              <w:rPr>
                <w:szCs w:val="24"/>
              </w:rPr>
              <w:t>.4</w:t>
            </w:r>
          </w:p>
        </w:tc>
        <w:tc>
          <w:tcPr>
            <w:tcW w:w="1920" w:type="dxa"/>
            <w:tcBorders>
              <w:top w:val="nil"/>
              <w:left w:val="nil"/>
              <w:right w:val="nil"/>
            </w:tcBorders>
            <w:shd w:val="clear" w:color="auto" w:fill="auto"/>
          </w:tcPr>
          <w:p w14:paraId="49BBC287" w14:textId="77777777" w:rsidR="003F63B7" w:rsidRPr="00010B3C" w:rsidRDefault="003F63B7" w:rsidP="003F63B7">
            <w:pPr>
              <w:tabs>
                <w:tab w:val="decimal" w:pos="612"/>
              </w:tabs>
              <w:spacing w:before="60" w:after="60"/>
              <w:rPr>
                <w:szCs w:val="24"/>
              </w:rPr>
            </w:pPr>
            <w:r w:rsidRPr="00010B3C">
              <w:rPr>
                <w:szCs w:val="24"/>
              </w:rPr>
              <w:t>26</w:t>
            </w:r>
          </w:p>
        </w:tc>
      </w:tr>
    </w:tbl>
    <w:p w14:paraId="0078AA27" w14:textId="30243777" w:rsidR="003F63B7" w:rsidRDefault="003F63B7"/>
    <w:p w14:paraId="7870AAE4" w14:textId="1558F04B" w:rsidR="003F63B7" w:rsidRDefault="003F63B7"/>
    <w:p w14:paraId="10072811" w14:textId="77777777" w:rsidR="003F63B7" w:rsidRDefault="003F63B7"/>
    <w:p w14:paraId="68B945B9" w14:textId="0F7A4A6B" w:rsidR="00812B4F" w:rsidRDefault="002F6C28">
      <w:r>
        <w:t>Systematic review</w:t>
      </w:r>
      <w:r w:rsidR="003F63B7">
        <w:t xml:space="preserve"> m</w:t>
      </w:r>
      <w:r w:rsidR="00E85D4B">
        <w:t>ethod</w:t>
      </w:r>
    </w:p>
    <w:p w14:paraId="7CC58327" w14:textId="77777777" w:rsidR="00622112" w:rsidRDefault="00537E91" w:rsidP="006D030D">
      <w:r>
        <w:t xml:space="preserve">A systematic review protocol was designed to return all articles which surveyed an area of research and reported the effect sizes reported in those articles. All </w:t>
      </w:r>
      <w:proofErr w:type="spellStart"/>
      <w:r>
        <w:t>serachers</w:t>
      </w:r>
      <w:proofErr w:type="spellEnd"/>
      <w:r>
        <w:t xml:space="preserve"> were performed on </w:t>
      </w:r>
      <w:r w:rsidR="006D030D">
        <w:t>the 11</w:t>
      </w:r>
      <w:r w:rsidR="006D030D" w:rsidRPr="006D030D">
        <w:rPr>
          <w:vertAlign w:val="superscript"/>
        </w:rPr>
        <w:t>th</w:t>
      </w:r>
      <w:r w:rsidR="006D030D">
        <w:t xml:space="preserve"> </w:t>
      </w:r>
      <w:proofErr w:type="gramStart"/>
      <w:r w:rsidR="006D030D">
        <w:t>August,</w:t>
      </w:r>
      <w:proofErr w:type="gramEnd"/>
      <w:r w:rsidR="006D030D">
        <w:t xml:space="preserve"> 2018</w:t>
      </w:r>
      <w:r>
        <w:t xml:space="preserve">. The </w:t>
      </w:r>
      <w:proofErr w:type="spellStart"/>
      <w:r w:rsidR="006D030D">
        <w:t>PsychInfo</w:t>
      </w:r>
      <w:proofErr w:type="spellEnd"/>
      <w:r w:rsidR="006D030D">
        <w:t xml:space="preserve"> database was searched through the Ovid interface for “Effect size benchmarks.mp.</w:t>
      </w:r>
      <w:r w:rsidR="00D70E83">
        <w:t>” (“</w:t>
      </w:r>
      <w:proofErr w:type="spellStart"/>
      <w:r w:rsidR="00D70E83">
        <w:t>mp</w:t>
      </w:r>
      <w:proofErr w:type="spellEnd"/>
      <w:r w:rsidR="00D70E83">
        <w:t xml:space="preserve">” searches for matches in the title, </w:t>
      </w:r>
      <w:r w:rsidR="00D70E83" w:rsidRPr="00D70E83">
        <w:t>abstract, heading word, table of contents</w:t>
      </w:r>
      <w:r w:rsidR="00D70E83">
        <w:t xml:space="preserve"> and</w:t>
      </w:r>
      <w:r w:rsidR="00D70E83" w:rsidRPr="00D70E83">
        <w:t xml:space="preserve"> key concepts</w:t>
      </w:r>
      <w:r w:rsidR="00D70E83">
        <w:t>), identifying 15 articles. W</w:t>
      </w:r>
      <w:r w:rsidR="009B649F">
        <w:t>eb of Knowledge was searched for “</w:t>
      </w:r>
      <w:r w:rsidR="006D030D" w:rsidRPr="006D030D">
        <w:t xml:space="preserve">SU = Psychology AND TI = </w:t>
      </w:r>
      <w:r w:rsidR="00FC40F5">
        <w:t>e</w:t>
      </w:r>
      <w:r w:rsidR="006D030D" w:rsidRPr="006D030D">
        <w:t>ffect size benchmarks</w:t>
      </w:r>
      <w:r w:rsidR="009B649F">
        <w:t>”</w:t>
      </w:r>
      <w:r w:rsidR="00D70E83">
        <w:t>, identifying 5 articles</w:t>
      </w:r>
      <w:r w:rsidR="009B649F">
        <w:t>. Additional searches for “average effect size” and “</w:t>
      </w:r>
      <w:r w:rsidR="003F267A">
        <w:t>effect size benchmarks</w:t>
      </w:r>
      <w:r w:rsidR="009B649F">
        <w:t>”</w:t>
      </w:r>
      <w:r w:rsidR="003F267A">
        <w:t xml:space="preserve"> in </w:t>
      </w:r>
      <w:r w:rsidR="00D70E83">
        <w:t xml:space="preserve">Google Scholar </w:t>
      </w:r>
      <w:r>
        <w:t>identified</w:t>
      </w:r>
      <w:r w:rsidR="00D70E83">
        <w:t xml:space="preserve"> 6 articles</w:t>
      </w:r>
      <w:r w:rsidR="009B649F">
        <w:t>.</w:t>
      </w:r>
      <w:r w:rsidR="00D70E83">
        <w:t xml:space="preserve"> Hand searches of the references lists of all articles including during full text screening identified an additional </w:t>
      </w:r>
      <w:r w:rsidR="005E769D">
        <w:t>3 articles</w:t>
      </w:r>
      <w:r w:rsidR="00D70E83">
        <w:t xml:space="preserve">. </w:t>
      </w:r>
      <w:r w:rsidR="005E769D">
        <w:t xml:space="preserve">I knew of two articles outlining effect size benchmarks from the grey literature, a pre-print </w:t>
      </w:r>
      <w:r w:rsidR="005E769D">
        <w:fldChar w:fldCharType="begin"/>
      </w:r>
      <w:r w:rsidR="005E769D">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5E769D">
        <w:fldChar w:fldCharType="separate"/>
      </w:r>
      <w:r w:rsidR="005E769D">
        <w:rPr>
          <w:noProof/>
        </w:rPr>
        <w:t>(Lovakov &amp; Agadullina, 2017)</w:t>
      </w:r>
      <w:r w:rsidR="005E769D">
        <w:fldChar w:fldCharType="end"/>
      </w:r>
      <w:r w:rsidR="005E769D">
        <w:t xml:space="preserve"> and book </w:t>
      </w:r>
      <w:r w:rsidR="005E769D">
        <w:fldChar w:fldCharType="begin"/>
      </w:r>
      <w:r w:rsidR="005E769D">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5E769D">
        <w:fldChar w:fldCharType="separate"/>
      </w:r>
      <w:r w:rsidR="005E769D">
        <w:rPr>
          <w:noProof/>
        </w:rPr>
        <w:t>(Hattie, 2009)</w:t>
      </w:r>
      <w:r w:rsidR="005E769D">
        <w:fldChar w:fldCharType="end"/>
      </w:r>
      <w:r>
        <w:t xml:space="preserve"> which are included</w:t>
      </w:r>
      <w:r w:rsidR="005E769D">
        <w:t xml:space="preserve">. </w:t>
      </w:r>
      <w:r w:rsidR="00D70E83">
        <w:t xml:space="preserve"> </w:t>
      </w:r>
      <w:r>
        <w:t>After deduplication and full text screening, 18 articles remained.</w:t>
      </w:r>
    </w:p>
    <w:p w14:paraId="7D5C1721" w14:textId="63602D3D" w:rsidR="00812B4F" w:rsidRDefault="00E22522" w:rsidP="006D030D">
      <w:r w:rsidRPr="00E22522">
        <w:lastRenderedPageBreak/>
        <w:drawing>
          <wp:inline distT="0" distB="0" distL="0" distR="0" wp14:anchorId="79D72FF2" wp14:editId="09487C22">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67B19488" w14:textId="140B0C84" w:rsidR="0090650F" w:rsidRDefault="00622112" w:rsidP="0090650F">
      <w:r>
        <w:t>Figure [</w:t>
      </w:r>
      <w:proofErr w:type="spellStart"/>
      <w:r>
        <w:t>prisma</w:t>
      </w:r>
      <w:proofErr w:type="spellEnd"/>
      <w:r>
        <w:t>]</w:t>
      </w:r>
      <w:r w:rsidR="00143A77">
        <w:t xml:space="preserve">. </w:t>
      </w:r>
      <w:r w:rsidR="00E75722">
        <w:t xml:space="preserve">Article </w:t>
      </w:r>
      <w:r w:rsidR="00143A77">
        <w:t xml:space="preserve">search </w:t>
      </w:r>
      <w:r w:rsidR="00E75722">
        <w:t xml:space="preserve">and screening </w:t>
      </w:r>
      <w:r w:rsidR="00143A77">
        <w:t xml:space="preserve">procedure. </w:t>
      </w:r>
    </w:p>
    <w:p w14:paraId="229C1700" w14:textId="77777777" w:rsidR="0090650F" w:rsidRDefault="0090650F" w:rsidP="0090650F"/>
    <w:p w14:paraId="29562770" w14:textId="167B5225" w:rsidR="00B66250" w:rsidRDefault="0090650F" w:rsidP="006D030D">
      <w:r>
        <w:t>Results Discussion</w:t>
      </w:r>
    </w:p>
    <w:p w14:paraId="017ABB93" w14:textId="77777777" w:rsidR="00B66250" w:rsidRDefault="00B66250" w:rsidP="006D030D"/>
    <w:p w14:paraId="6ABDAE78" w14:textId="6933C0DD" w:rsidR="00483AAF" w:rsidRDefault="0090650F" w:rsidP="006D030D">
      <w:r>
        <w:t xml:space="preserve">A total of 19 articles were identified </w:t>
      </w:r>
      <w:proofErr w:type="spellStart"/>
      <w:r>
        <w:t>provind</w:t>
      </w:r>
      <w:proofErr w:type="spellEnd"/>
      <w:r>
        <w:t xml:space="preserve"> empirical benchmarks for areas of psychology research. </w:t>
      </w:r>
      <w:r w:rsidR="00416CDA">
        <w:t xml:space="preserve">The earliest </w:t>
      </w:r>
      <w:r w:rsidR="00E75722">
        <w:t>study</w:t>
      </w:r>
      <w:r w:rsidR="00416CDA">
        <w:t xml:space="preserve"> to examine t</w:t>
      </w:r>
      <w:r w:rsidR="00E75722">
        <w:t xml:space="preserve">he distribution of effect sizes in a body of literature </w:t>
      </w:r>
      <w:r w:rsidR="00E75722" w:rsidRPr="00E75722">
        <w:t>identified</w:t>
      </w:r>
      <w:r w:rsidR="00E75722">
        <w:t xml:space="preserve"> is by two of the progenitors and popularisers of meta-analysis, </w:t>
      </w:r>
      <w:r w:rsidR="00E75722">
        <w:fldChar w:fldCharType="begin"/>
      </w:r>
      <w:r w:rsidR="00E75722">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E75722">
        <w:fldChar w:fldCharType="separate"/>
      </w:r>
      <w:r w:rsidR="00E75722">
        <w:rPr>
          <w:noProof/>
        </w:rPr>
        <w:t>Smith and Glass (1977)</w:t>
      </w:r>
      <w:r w:rsidR="00E75722">
        <w:fldChar w:fldCharType="end"/>
      </w:r>
      <w:r w:rsidR="00E75722">
        <w:t xml:space="preserve">. This early meta-analysis included 375 studies of </w:t>
      </w:r>
      <w:r w:rsidR="00483AAF">
        <w:t>psychotherapy</w:t>
      </w:r>
      <w:r w:rsidR="00E75722">
        <w:t xml:space="preserve"> which compared a treatment group to a control group</w:t>
      </w:r>
      <w:r>
        <w:t xml:space="preserve">. Although the explicit aim of this study was not to, </w:t>
      </w:r>
    </w:p>
    <w:p w14:paraId="347A85AD" w14:textId="2CABE7F0" w:rsidR="00483AAF" w:rsidRDefault="00483AAF">
      <w:r>
        <w:t>It is a</w:t>
      </w:r>
      <w:r w:rsidR="0090650F">
        <w:t xml:space="preserve">lso noteworthy that this is the only study to use Glass’ delta, an effect size measure that standardised the effect size with the standard </w:t>
      </w:r>
      <w:r>
        <w:t>deviation</w:t>
      </w:r>
      <w:r w:rsidR="0090650F">
        <w:t xml:space="preserve"> of the control group not a pooled </w:t>
      </w:r>
      <w:r>
        <w:t xml:space="preserve">estimate. </w:t>
      </w:r>
    </w:p>
    <w:p w14:paraId="62E3799D" w14:textId="0BD55DF3" w:rsidR="00483AAF" w:rsidRDefault="00483AAF">
      <w:r>
        <w:t xml:space="preserve">These studies provide an overview of the degree of heterogeneity that can be seen in different areas of published psychological research. </w:t>
      </w:r>
    </w:p>
    <w:p w14:paraId="3EFDC5B6" w14:textId="7A232C3C" w:rsidR="00483AAF" w:rsidRDefault="00483AAF">
      <w:r>
        <w:t xml:space="preserve">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 </w: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 </w:instrTex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EN.CITE.DATA </w:instrText>
      </w:r>
      <w:r>
        <w:fldChar w:fldCharType="end"/>
      </w:r>
      <w:r>
        <w:fldChar w:fldCharType="separate"/>
      </w:r>
      <w:r>
        <w:rPr>
          <w:noProof/>
        </w:rPr>
        <w:t>(Anderson &amp; Maxwell, 2017; Maxwell, Lau, &amp; Howard, 2015; Open Science Collaboration, 2015)</w:t>
      </w:r>
      <w:r>
        <w:fldChar w:fldCharType="end"/>
      </w:r>
      <w:r>
        <w:t>.</w:t>
      </w:r>
    </w:p>
    <w:p w14:paraId="214B8A19" w14:textId="03003493" w:rsidR="00E75722" w:rsidRDefault="006F140F" w:rsidP="006F140F">
      <w:pPr>
        <w:ind w:left="720" w:hanging="720"/>
      </w:pPr>
      <w:r>
        <w:lastRenderedPageBreak/>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67FFC239" w:rsidR="00F96D96" w:rsidRDefault="004A1E55">
      <w:r>
        <w:lastRenderedPageBreak/>
        <w:t xml:space="preserve">Table [effect sizes </w:t>
      </w:r>
      <w:r w:rsidR="00B24CB3">
        <w:t xml:space="preserve">d </w:t>
      </w:r>
      <w:r>
        <w:t xml:space="preserve">psychology]. </w:t>
      </w:r>
      <w:r w:rsidR="002363BE">
        <w:t>Results of effect size surveys of</w:t>
      </w:r>
      <w:r w:rsidR="002363BE">
        <w:t xml:space="preserve"> psychological interventions which reported results in</w:t>
      </w:r>
      <w:r w:rsidR="002363BE">
        <w:t xml:space="preserve"> </w:t>
      </w:r>
      <w:r w:rsidR="002363BE">
        <w:t>Cohen’s d</w:t>
      </w:r>
      <w:r w:rsidR="002363BE">
        <w:t>.</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2BB7B572" w:rsidR="003763D8" w:rsidRPr="004A1E55" w:rsidRDefault="003763D8" w:rsidP="003763D8">
            <w:pPr>
              <w:rPr>
                <w:sz w:val="20"/>
              </w:rPr>
            </w:pPr>
            <w:r w:rsidRPr="004A1E55">
              <w:rPr>
                <w:sz w:val="20"/>
              </w:rPr>
              <w:t xml:space="preserve">Sampled </w:t>
            </w:r>
            <w:r>
              <w:rPr>
                <w:sz w:val="20"/>
              </w:rPr>
              <w:t>effects</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0CE74150" w:rsidR="003763D8" w:rsidRPr="004A1E55" w:rsidRDefault="003763D8" w:rsidP="003763D8">
            <w:pPr>
              <w:rPr>
                <w:sz w:val="20"/>
              </w:rPr>
            </w:pPr>
            <w:r w:rsidRPr="004A1E55">
              <w:rPr>
                <w:sz w:val="20"/>
              </w:rPr>
              <w:t>Cited results 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w:t>
            </w:r>
            <w:r w:rsidRPr="002363BE">
              <w:rPr>
                <w:sz w:val="20"/>
                <w:vertAlign w:val="superscript"/>
              </w:rPr>
              <w:t>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 xml:space="preserve">Statistical tests reported in </w:t>
            </w:r>
            <w:r w:rsidRPr="004A1E55">
              <w:rPr>
                <w:sz w:val="20"/>
              </w:rPr>
              <w:t>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w:t>
            </w:r>
            <w:r w:rsidRPr="002363BE">
              <w:rPr>
                <w:sz w:val="20"/>
                <w:vertAlign w:val="superscript"/>
              </w:rPr>
              <w:t>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 xml:space="preserve">Statistical tests reported in </w:t>
            </w:r>
            <w:r w:rsidRPr="004A1E55">
              <w:rPr>
                <w:sz w:val="20"/>
              </w:rPr>
              <w:t>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w:t>
            </w:r>
            <w:r w:rsidRPr="002363BE">
              <w:rPr>
                <w:sz w:val="20"/>
                <w:vertAlign w:val="superscript"/>
              </w:rPr>
              <w:t>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w:t>
            </w:r>
            <w:r w:rsidRPr="004A1E55">
              <w:rPr>
                <w:sz w:val="20"/>
              </w:rPr>
              <w:t xml:space="preserve">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77777777" w:rsidR="003763D8" w:rsidRPr="004A1E55" w:rsidRDefault="003763D8" w:rsidP="003763D8">
            <w:pPr>
              <w:rPr>
                <w:sz w:val="20"/>
              </w:rPr>
            </w:pPr>
            <w:r w:rsidRPr="004A1E55">
              <w:rPr>
                <w:sz w:val="20"/>
              </w:rPr>
              <w:t>Smith &amp; Glass (1977)</w:t>
            </w:r>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19A8D803" w14:textId="7FCED470" w:rsidR="001A578F" w:rsidRDefault="002363BE" w:rsidP="001A578F">
      <w:r>
        <w:lastRenderedPageBreak/>
        <w:t xml:space="preserve">Note: </w:t>
      </w:r>
      <w:r w:rsidR="001A578F">
        <w:t>Table [</w:t>
      </w:r>
      <w:proofErr w:type="spellStart"/>
      <w:r w:rsidR="001A578F">
        <w:t>rs</w:t>
      </w:r>
      <w:proofErr w:type="spellEnd"/>
      <w:r w:rsidR="001A578F">
        <w:t xml:space="preserve">]. Results of </w:t>
      </w:r>
      <w:r w:rsidR="001A578F">
        <w:t xml:space="preserve">effect size surveys of </w:t>
      </w:r>
      <w:r w:rsidR="00E4488F">
        <w:t>Pearson</w:t>
      </w:r>
      <w:r w:rsidR="001A578F">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77777777" w:rsidR="003763D8" w:rsidRPr="00D86AC6" w:rsidRDefault="003763D8" w:rsidP="003763D8"/>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bookmarkStart w:id="0" w:name="_GoBack"/>
      <w:bookmarkEnd w:id="0"/>
    </w:p>
    <w:p w14:paraId="64E289C7" w14:textId="40325577" w:rsidR="004A1E55" w:rsidRDefault="00B24CB3">
      <w:r>
        <w:lastRenderedPageBreak/>
        <w:t>Table [effect sizes not r or d]</w:t>
      </w:r>
      <w:r w:rsidR="00E4488F">
        <w:t xml:space="preserve">. </w:t>
      </w:r>
      <w:r w:rsidR="00E4488F">
        <w:t xml:space="preserve">Results of effect size surveys of </w:t>
      </w:r>
      <w:r w:rsidR="00E4488F">
        <w:t>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3633EA">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3633EA">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3763D8"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3633EA">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3633EA">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 xml:space="preserve">rticles </w:t>
            </w:r>
            <w:r w:rsidRPr="00B24CB3">
              <w:t>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3633EA">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 xml:space="preserve">rticles </w:t>
            </w:r>
            <w:r w:rsidRPr="00B24CB3">
              <w:t>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3633EA">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59B2704D"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 xml:space="preserve">correlational studies </w:t>
      </w:r>
      <w:r>
        <w:t>results also reported in Table [</w:t>
      </w:r>
      <w:r>
        <w:t>rs</w:t>
      </w:r>
      <w:r>
        <w:t xml:space="preserve">] </w:t>
      </w:r>
      <w:r>
        <w:t xml:space="preserve"> </w:t>
      </w:r>
    </w:p>
    <w:p w14:paraId="7D75F795" w14:textId="7C070628" w:rsidR="004A1E55" w:rsidRDefault="004A1E55"/>
    <w:p w14:paraId="213F6ADE" w14:textId="77777777" w:rsidR="0074593E" w:rsidRDefault="0074593E"/>
    <w:p w14:paraId="085EBDA9" w14:textId="77777777" w:rsidR="005D6CD5" w:rsidRDefault="005D6CD5"/>
    <w:p w14:paraId="24285B9D" w14:textId="77777777" w:rsidR="005D6CD5" w:rsidRDefault="005D6CD5"/>
    <w:p w14:paraId="6C5C5168" w14:textId="77777777" w:rsidR="005D6CD5" w:rsidRDefault="005D6CD5"/>
    <w:p w14:paraId="5AF20BB2" w14:textId="3B4F4D7C" w:rsidR="00E85D4B" w:rsidRDefault="00975B0F">
      <w:r>
        <w:t xml:space="preserve">FIND SOME WAY OF VISULISING HERE ~ Maybe use the kernel density </w:t>
      </w:r>
      <w:proofErr w:type="spellStart"/>
      <w:r>
        <w:t>estimatiors</w:t>
      </w:r>
      <w:proofErr w:type="spellEnd"/>
      <w:r>
        <w:t xml:space="preserve">, imputing data haphazardly </w:t>
      </w:r>
    </w:p>
    <w:p w14:paraId="6E8248DF" w14:textId="17329790" w:rsidR="00975B0F" w:rsidRDefault="00975B0F"/>
    <w:p w14:paraId="0AED2F3B" w14:textId="48399B96" w:rsidR="00975B0F" w:rsidRDefault="00975B0F"/>
    <w:p w14:paraId="6512A953" w14:textId="77777777" w:rsidR="00975B0F" w:rsidRDefault="00975B0F"/>
    <w:p w14:paraId="3A471A7F" w14:textId="54D052C7" w:rsidR="00975B0F" w:rsidRDefault="00975B0F"/>
    <w:p w14:paraId="5704718F" w14:textId="77777777" w:rsidR="00975B0F" w:rsidRDefault="00975B0F"/>
    <w:p w14:paraId="17439B26" w14:textId="77777777" w:rsidR="00E85D4B" w:rsidRDefault="00E85D4B"/>
    <w:p w14:paraId="28BF8B35" w14:textId="77777777" w:rsidR="006A6D69" w:rsidRPr="006A6D69" w:rsidRDefault="00C40781" w:rsidP="006A6D69">
      <w:pPr>
        <w:pStyle w:val="EndNoteBibliography"/>
        <w:spacing w:after="0"/>
        <w:ind w:left="720" w:hanging="720"/>
      </w:pPr>
      <w:r>
        <w:fldChar w:fldCharType="begin"/>
      </w:r>
      <w:r>
        <w:instrText xml:space="preserve"> ADDIN EN.REFLIST </w:instrText>
      </w:r>
      <w:r>
        <w:fldChar w:fldCharType="separate"/>
      </w:r>
      <w:r w:rsidR="006A6D69" w:rsidRPr="006A6D69">
        <w:t xml:space="preserve">Anderson, S. F., &amp; Maxwell, S. E. (2017). Addressing the "Replication Crisis": Using Original Studies to Design Replication Studies with Appropriate Statistical Power. </w:t>
      </w:r>
      <w:r w:rsidR="006A6D69" w:rsidRPr="006A6D69">
        <w:rPr>
          <w:i/>
        </w:rPr>
        <w:t>Multivariate Behavioral Research, 52</w:t>
      </w:r>
      <w:r w:rsidR="006A6D69" w:rsidRPr="006A6D69">
        <w:t>, 305-324. doi:10.1080/00273171.2017.1289361</w:t>
      </w:r>
    </w:p>
    <w:p w14:paraId="6C00DCF0" w14:textId="77777777" w:rsidR="006A6D69" w:rsidRPr="006A6D69" w:rsidRDefault="006A6D69" w:rsidP="006A6D69">
      <w:pPr>
        <w:pStyle w:val="EndNoteBibliography"/>
        <w:spacing w:after="0"/>
        <w:ind w:left="720" w:hanging="720"/>
      </w:pPr>
      <w:r w:rsidRPr="006A6D69">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509D480C" w14:textId="77777777" w:rsidR="006A6D69" w:rsidRPr="006A6D69" w:rsidRDefault="006A6D69" w:rsidP="006A6D69">
      <w:pPr>
        <w:pStyle w:val="EndNoteBibliography"/>
        <w:spacing w:after="0"/>
        <w:ind w:left="720" w:hanging="720"/>
      </w:pPr>
      <w:r w:rsidRPr="006A6D69">
        <w:t xml:space="preserve">Cohen, J. (1962). The statistical power of abnormal-social psychological research: A review. </w:t>
      </w:r>
      <w:r w:rsidRPr="006A6D69">
        <w:rPr>
          <w:i/>
        </w:rPr>
        <w:t>The Journal of Abnormal and Social Psychology, 65</w:t>
      </w:r>
      <w:r w:rsidRPr="006A6D69">
        <w:t>, 145-153. doi:10.1037/h0045186</w:t>
      </w:r>
    </w:p>
    <w:p w14:paraId="15B59C3C" w14:textId="77777777" w:rsidR="006A6D69" w:rsidRPr="006A6D69" w:rsidRDefault="006A6D69" w:rsidP="006A6D69">
      <w:pPr>
        <w:pStyle w:val="EndNoteBibliography"/>
        <w:spacing w:after="0"/>
        <w:ind w:left="720" w:hanging="720"/>
      </w:pPr>
      <w:r w:rsidRPr="006A6D69">
        <w:t xml:space="preserve">Cohen, J. (1970). Approximate power and sample size determination for common one-sample and two-sample hypothesis tests. </w:t>
      </w:r>
      <w:r w:rsidRPr="006A6D69">
        <w:rPr>
          <w:i/>
        </w:rPr>
        <w:t>Educational and Psychological Measurement, 30</w:t>
      </w:r>
      <w:r w:rsidRPr="006A6D69">
        <w:t xml:space="preserve">, 811-831. </w:t>
      </w:r>
    </w:p>
    <w:p w14:paraId="2F2FEA86" w14:textId="77777777" w:rsidR="006A6D69" w:rsidRPr="006A6D69" w:rsidRDefault="006A6D69" w:rsidP="006A6D69">
      <w:pPr>
        <w:pStyle w:val="EndNoteBibliography"/>
        <w:spacing w:after="0"/>
        <w:ind w:left="720" w:hanging="720"/>
      </w:pPr>
      <w:r w:rsidRPr="006A6D69">
        <w:t>Cohen, J. (1988). Statistical power analysis for the behavioral sciences (2nd ed.). Hillsdale, New Jersey: Erlbaum.</w:t>
      </w:r>
    </w:p>
    <w:p w14:paraId="790D5E7A" w14:textId="77777777" w:rsidR="006A6D69" w:rsidRPr="006A6D69" w:rsidRDefault="006A6D69" w:rsidP="006A6D69">
      <w:pPr>
        <w:pStyle w:val="EndNoteBibliography"/>
        <w:spacing w:after="0"/>
        <w:ind w:left="720" w:hanging="720"/>
      </w:pPr>
      <w:r w:rsidRPr="006A6D69">
        <w:t xml:space="preserve">Gigerenzer, G., &amp; Marewski, J. N. (2014). Surrogate Science: The Idol of a Universal Method for Scientific Inference. </w:t>
      </w:r>
      <w:r w:rsidRPr="006A6D69">
        <w:rPr>
          <w:i/>
        </w:rPr>
        <w:t>Journal of Management, 41</w:t>
      </w:r>
      <w:r w:rsidRPr="006A6D69">
        <w:t>, 421-440. doi:10.1177/0149206314547522</w:t>
      </w:r>
    </w:p>
    <w:p w14:paraId="4E179DFB" w14:textId="77777777" w:rsidR="006A6D69" w:rsidRPr="006A6D69" w:rsidRDefault="006A6D69" w:rsidP="006A6D69">
      <w:pPr>
        <w:pStyle w:val="EndNoteBibliography"/>
        <w:spacing w:after="0"/>
        <w:ind w:left="720" w:hanging="720"/>
      </w:pPr>
      <w:r w:rsidRPr="006A6D69">
        <w:t xml:space="preserve">Hattie, J. (2009). </w:t>
      </w:r>
      <w:r w:rsidRPr="006A6D69">
        <w:rPr>
          <w:i/>
        </w:rPr>
        <w:t>Visible learning: A synthesis of over 800 meta-analyses relating to achievement</w:t>
      </w:r>
      <w:r w:rsidRPr="006A6D69">
        <w:t>. London, England: Routledge.</w:t>
      </w:r>
    </w:p>
    <w:p w14:paraId="5C40FAB2" w14:textId="77777777" w:rsidR="006A6D69" w:rsidRPr="006A6D69" w:rsidRDefault="006A6D69" w:rsidP="006A6D69">
      <w:pPr>
        <w:pStyle w:val="EndNoteBibliography"/>
        <w:spacing w:after="0"/>
        <w:ind w:left="720" w:hanging="720"/>
      </w:pPr>
      <w:r w:rsidRPr="006A6D69">
        <w:t xml:space="preserve">Kenny, D. A., &amp; Judd, C. M. (in press). The Unappreciated Heterogeneity of Effect Sizes: Implications for Power, Precision, Planning of Research, and Replication. </w:t>
      </w:r>
    </w:p>
    <w:p w14:paraId="5D80BB7A" w14:textId="77777777" w:rsidR="006A6D69" w:rsidRPr="006A6D69" w:rsidRDefault="006A6D69" w:rsidP="006A6D69">
      <w:pPr>
        <w:pStyle w:val="EndNoteBibliography"/>
        <w:spacing w:after="0"/>
        <w:ind w:left="720" w:hanging="720"/>
      </w:pPr>
      <w:r w:rsidRPr="006A6D69">
        <w:t xml:space="preserve">Lakens, D. (2013). Calculating and reporting effect sizes to facilitate cumulative science: a practical primer for t-tests and ANOVAs. </w:t>
      </w:r>
      <w:r w:rsidRPr="006A6D69">
        <w:rPr>
          <w:i/>
        </w:rPr>
        <w:t>Frontiers in Psychology, 4</w:t>
      </w:r>
      <w:r w:rsidRPr="006A6D69">
        <w:t>, 863. doi:10.3389/fpsyg.2013.00863</w:t>
      </w:r>
    </w:p>
    <w:p w14:paraId="4BC7AB97" w14:textId="77777777" w:rsidR="006A6D69" w:rsidRPr="006A6D69" w:rsidRDefault="006A6D69" w:rsidP="006A6D69">
      <w:pPr>
        <w:pStyle w:val="EndNoteBibliography"/>
        <w:spacing w:after="0"/>
        <w:ind w:left="720" w:hanging="720"/>
      </w:pPr>
      <w:r w:rsidRPr="006A6D69">
        <w:t>Lovakov, A., &amp; Agadullina, E. (2017). Empirically Derived Guidelines for Interpreting Effect Size in Social Psychology. doi:10.31234/osf.io/2epc4</w:t>
      </w:r>
    </w:p>
    <w:p w14:paraId="3902D526" w14:textId="77777777" w:rsidR="006A6D69" w:rsidRPr="006A6D69" w:rsidRDefault="006A6D69" w:rsidP="006A6D69">
      <w:pPr>
        <w:pStyle w:val="EndNoteBibliography"/>
        <w:spacing w:after="0"/>
        <w:ind w:left="720" w:hanging="720"/>
      </w:pPr>
      <w:r w:rsidRPr="006A6D69">
        <w:t xml:space="preserve">Maxwell, S. E., Lau, M. Y., &amp; Howard, G. S. (2015). Is psychology suffering from a replication crisis? What does “failure to replicate” really mean? </w:t>
      </w:r>
      <w:r w:rsidRPr="006A6D69">
        <w:rPr>
          <w:i/>
        </w:rPr>
        <w:t>American Psychologist, 70</w:t>
      </w:r>
      <w:r w:rsidRPr="006A6D69">
        <w:t>, 487-498. doi:10.1037/a0039400</w:t>
      </w:r>
    </w:p>
    <w:p w14:paraId="148A9FDB" w14:textId="77777777" w:rsidR="006A6D69" w:rsidRPr="006A6D69" w:rsidRDefault="006A6D69" w:rsidP="006A6D69">
      <w:pPr>
        <w:pStyle w:val="EndNoteBibliography"/>
        <w:spacing w:after="0"/>
        <w:ind w:left="720" w:hanging="720"/>
      </w:pPr>
      <w:r w:rsidRPr="006A6D69">
        <w:t xml:space="preserve">McShane, B. B., &amp; Böckenholt, U. (2016). Planning sample sizes when effect sizes are uncertain: The power-calibrated effect size approach. </w:t>
      </w:r>
      <w:r w:rsidRPr="006A6D69">
        <w:rPr>
          <w:i/>
        </w:rPr>
        <w:t>Psychological Methods, 21</w:t>
      </w:r>
      <w:r w:rsidRPr="006A6D69">
        <w:t>, 47-60. doi:10.1037/met0000036</w:t>
      </w:r>
    </w:p>
    <w:p w14:paraId="48FBABF9" w14:textId="77777777" w:rsidR="006A6D69" w:rsidRPr="006A6D69" w:rsidRDefault="006A6D69" w:rsidP="006A6D69">
      <w:pPr>
        <w:pStyle w:val="EndNoteBibliography"/>
        <w:spacing w:after="0"/>
        <w:ind w:left="720" w:hanging="720"/>
      </w:pPr>
      <w:r w:rsidRPr="006A6D69">
        <w:lastRenderedPageBreak/>
        <w:t xml:space="preserve">Open Science Collaboration. (2015). Estimating the reproducibility of psychological science. </w:t>
      </w:r>
      <w:r w:rsidRPr="006A6D69">
        <w:rPr>
          <w:i/>
        </w:rPr>
        <w:t>Science, 349</w:t>
      </w:r>
      <w:r w:rsidRPr="006A6D69">
        <w:t xml:space="preserve">. </w:t>
      </w:r>
    </w:p>
    <w:p w14:paraId="17CBAFBE" w14:textId="77777777" w:rsidR="006A6D69" w:rsidRPr="006A6D69" w:rsidRDefault="006A6D69" w:rsidP="006A6D69">
      <w:pPr>
        <w:pStyle w:val="EndNoteBibliography"/>
        <w:spacing w:after="0"/>
        <w:ind w:left="720" w:hanging="720"/>
      </w:pPr>
      <w:r w:rsidRPr="006A6D69">
        <w:t xml:space="preserve">Reiser, B., &amp; Faraggi, D. (1999). Confidence Intervals for the Overlapping Coefficient: the Normal Equal Variance Case. </w:t>
      </w:r>
      <w:r w:rsidRPr="006A6D69">
        <w:rPr>
          <w:i/>
        </w:rPr>
        <w:t>Journal of the Royal Statistical Society: Series D (The Statistician), 48</w:t>
      </w:r>
      <w:r w:rsidRPr="006A6D69">
        <w:t>, 413-418. doi:10.1111/1467-9884.00199</w:t>
      </w:r>
    </w:p>
    <w:p w14:paraId="37DBAABB" w14:textId="77777777" w:rsidR="006A6D69" w:rsidRPr="006A6D69" w:rsidRDefault="006A6D69" w:rsidP="006A6D69">
      <w:pPr>
        <w:pStyle w:val="EndNoteBibliography"/>
        <w:ind w:left="720" w:hanging="720"/>
      </w:pPr>
      <w:r w:rsidRPr="006A6D69">
        <w:t xml:space="preserve">Smith, M. L., &amp; Glass, G. V. (1977). Meta-analysis of psychotherapy outcome studies. </w:t>
      </w:r>
      <w:r w:rsidRPr="006A6D69">
        <w:rPr>
          <w:i/>
        </w:rPr>
        <w:t>American Psychologist, 32</w:t>
      </w:r>
      <w:r w:rsidRPr="006A6D69">
        <w:t>, 752-760. doi:10.1037/0003-066X.32.9.752</w:t>
      </w:r>
    </w:p>
    <w:p w14:paraId="4E0CE436" w14:textId="7C21CDA8"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5&lt;/item&gt;&lt;item&gt;487&lt;/item&gt;&lt;item&gt;549&lt;/item&gt;&lt;item&gt;562&lt;/item&gt;&lt;item&gt;611&lt;/item&gt;&lt;item&gt;720&lt;/item&gt;&lt;item&gt;770&lt;/item&gt;&lt;item&gt;788&lt;/item&gt;&lt;item&gt;821&lt;/item&gt;&lt;item&gt;834&lt;/item&gt;&lt;item&gt;922&lt;/item&gt;&lt;/record-ids&gt;&lt;/item&gt;&lt;item db-id=&quot;rpdf9adecpx5dee00dpp5rfwzdpws09v09wd&quot;&gt;Statistical Power Analysis Literature Review Library&lt;record-ids&gt;&lt;item&gt;528&lt;/item&gt;&lt;item&gt;1901&lt;/item&gt;&lt;/record-ids&gt;&lt;/item&gt;&lt;/Libraries&gt;"/>
  </w:docVars>
  <w:rsids>
    <w:rsidRoot w:val="009A7476"/>
    <w:rsid w:val="00064ED5"/>
    <w:rsid w:val="00070CEE"/>
    <w:rsid w:val="00091E74"/>
    <w:rsid w:val="000B6351"/>
    <w:rsid w:val="00143A77"/>
    <w:rsid w:val="001A578F"/>
    <w:rsid w:val="001C1F26"/>
    <w:rsid w:val="0022454F"/>
    <w:rsid w:val="002363BE"/>
    <w:rsid w:val="00242CC1"/>
    <w:rsid w:val="002640A9"/>
    <w:rsid w:val="00283BA3"/>
    <w:rsid w:val="002978FF"/>
    <w:rsid w:val="002F6C28"/>
    <w:rsid w:val="0037262A"/>
    <w:rsid w:val="003728C3"/>
    <w:rsid w:val="003763D8"/>
    <w:rsid w:val="003A2506"/>
    <w:rsid w:val="003D4084"/>
    <w:rsid w:val="003F267A"/>
    <w:rsid w:val="003F63B7"/>
    <w:rsid w:val="00416CDA"/>
    <w:rsid w:val="00437EDD"/>
    <w:rsid w:val="00483AAF"/>
    <w:rsid w:val="004A1E55"/>
    <w:rsid w:val="00501673"/>
    <w:rsid w:val="0053221F"/>
    <w:rsid w:val="00537E91"/>
    <w:rsid w:val="00563096"/>
    <w:rsid w:val="0057441C"/>
    <w:rsid w:val="005D6CD5"/>
    <w:rsid w:val="005E769D"/>
    <w:rsid w:val="005F5DE9"/>
    <w:rsid w:val="00622112"/>
    <w:rsid w:val="0065070D"/>
    <w:rsid w:val="00656F4F"/>
    <w:rsid w:val="006A6D69"/>
    <w:rsid w:val="006C08FD"/>
    <w:rsid w:val="006D030D"/>
    <w:rsid w:val="006F140F"/>
    <w:rsid w:val="00723EF0"/>
    <w:rsid w:val="0074593E"/>
    <w:rsid w:val="00746121"/>
    <w:rsid w:val="00766BB9"/>
    <w:rsid w:val="007D0EE8"/>
    <w:rsid w:val="007D1206"/>
    <w:rsid w:val="007D66EB"/>
    <w:rsid w:val="007D73F1"/>
    <w:rsid w:val="007D7576"/>
    <w:rsid w:val="007F6C4A"/>
    <w:rsid w:val="00812B4F"/>
    <w:rsid w:val="0082667C"/>
    <w:rsid w:val="008316B0"/>
    <w:rsid w:val="00850696"/>
    <w:rsid w:val="008D4D4A"/>
    <w:rsid w:val="009038E2"/>
    <w:rsid w:val="0090650F"/>
    <w:rsid w:val="00942DC0"/>
    <w:rsid w:val="00975B0F"/>
    <w:rsid w:val="009A44A9"/>
    <w:rsid w:val="009A7476"/>
    <w:rsid w:val="009B649F"/>
    <w:rsid w:val="009F023B"/>
    <w:rsid w:val="00A52CFB"/>
    <w:rsid w:val="00A60B22"/>
    <w:rsid w:val="00A620B8"/>
    <w:rsid w:val="00AE291B"/>
    <w:rsid w:val="00B02C23"/>
    <w:rsid w:val="00B03AED"/>
    <w:rsid w:val="00B24CB3"/>
    <w:rsid w:val="00B66250"/>
    <w:rsid w:val="00BD4FFD"/>
    <w:rsid w:val="00BE52EF"/>
    <w:rsid w:val="00BF7BA4"/>
    <w:rsid w:val="00C40781"/>
    <w:rsid w:val="00C40A50"/>
    <w:rsid w:val="00C42B30"/>
    <w:rsid w:val="00D05227"/>
    <w:rsid w:val="00D55D33"/>
    <w:rsid w:val="00D67633"/>
    <w:rsid w:val="00D70E83"/>
    <w:rsid w:val="00D723EA"/>
    <w:rsid w:val="00D86AC6"/>
    <w:rsid w:val="00DC1971"/>
    <w:rsid w:val="00DF7B9B"/>
    <w:rsid w:val="00E22522"/>
    <w:rsid w:val="00E4488F"/>
    <w:rsid w:val="00E66E90"/>
    <w:rsid w:val="00E75722"/>
    <w:rsid w:val="00E85D4B"/>
    <w:rsid w:val="00ED4FA9"/>
    <w:rsid w:val="00EE4929"/>
    <w:rsid w:val="00F96D96"/>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76C45D28-8B35-4273-A79F-F24D5026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2833</TotalTime>
  <Pages>11</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58</cp:revision>
  <dcterms:created xsi:type="dcterms:W3CDTF">2018-08-09T23:35:00Z</dcterms:created>
  <dcterms:modified xsi:type="dcterms:W3CDTF">2018-08-13T07:16:00Z</dcterms:modified>
</cp:coreProperties>
</file>