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A4" w:rsidRPr="00147770" w:rsidRDefault="000B59A4" w:rsidP="000B59A4">
      <w:pPr>
        <w:spacing w:after="0" w:line="360" w:lineRule="auto"/>
        <w:jc w:val="both"/>
        <w:rPr>
          <w:rFonts w:ascii="Arial" w:eastAsia="Times New Roman" w:hAnsi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/>
          <w:b/>
          <w:bCs/>
          <w:sz w:val="18"/>
          <w:szCs w:val="18"/>
          <w:lang w:val="en-GB" w:eastAsia="fr-FR"/>
        </w:rPr>
        <w:t xml:space="preserve">Table </w:t>
      </w:r>
      <w:proofErr w:type="spellStart"/>
      <w:r w:rsidR="009744BD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S</w:t>
      </w:r>
      <w:r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1</w:t>
      </w:r>
      <w:proofErr w:type="spellEnd"/>
      <w:r w:rsidRPr="00DA1EA2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:</w:t>
      </w:r>
      <w:r w:rsidRPr="00DA1EA2">
        <w:rPr>
          <w:rFonts w:ascii="Arial" w:eastAsia="Times New Roman" w:hAnsi="Arial"/>
          <w:sz w:val="18"/>
          <w:szCs w:val="18"/>
          <w:lang w:val="en-GB" w:eastAsia="fr-FR"/>
        </w:rPr>
        <w:t xml:space="preserve"> </w:t>
      </w:r>
      <w:r>
        <w:rPr>
          <w:rFonts w:ascii="Arial" w:eastAsia="Times New Roman" w:hAnsi="Arial"/>
          <w:sz w:val="18"/>
          <w:szCs w:val="18"/>
          <w:lang w:val="en-GB" w:eastAsia="fr-FR"/>
        </w:rPr>
        <w:t>The Response shift effect for the QLQ-C30</w:t>
      </w:r>
      <w:r w:rsidRPr="00DA1EA2">
        <w:rPr>
          <w:rFonts w:ascii="Arial" w:eastAsia="Times New Roman" w:hAnsi="Arial"/>
          <w:sz w:val="18"/>
          <w:szCs w:val="18"/>
          <w:lang w:val="en-GB" w:eastAsia="fr-FR"/>
        </w:rPr>
        <w:t xml:space="preserve"> questionnaire after three and six months</w:t>
      </w:r>
      <w:r>
        <w:rPr>
          <w:rFonts w:ascii="Arial" w:eastAsia="Times New Roman" w:hAnsi="Arial"/>
          <w:sz w:val="18"/>
          <w:szCs w:val="18"/>
          <w:lang w:val="en-GB" w:eastAsia="fr-FR"/>
        </w:rPr>
        <w:t xml:space="preserve"> for all patients and according to each category of the anchor</w:t>
      </w:r>
    </w:p>
    <w:tbl>
      <w:tblPr>
        <w:tblW w:w="89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00"/>
        <w:gridCol w:w="380"/>
        <w:gridCol w:w="1140"/>
        <w:gridCol w:w="820"/>
        <w:gridCol w:w="700"/>
        <w:gridCol w:w="480"/>
        <w:gridCol w:w="380"/>
        <w:gridCol w:w="1140"/>
        <w:gridCol w:w="820"/>
        <w:gridCol w:w="700"/>
        <w:gridCol w:w="480"/>
      </w:tblGrid>
      <w:tr w:rsidR="00297CB3" w:rsidRPr="00147770" w:rsidTr="00446BB6">
        <w:trPr>
          <w:trHeight w:val="225"/>
        </w:trPr>
        <w:tc>
          <w:tcPr>
            <w:tcW w:w="190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  <w:lang w:eastAsia="fr-FR"/>
              </w:rPr>
            </w:pPr>
            <w:r w:rsidRPr="00DA1EA2">
              <w:rPr>
                <w:rFonts w:ascii="Arial" w:eastAsia="Times New Roman" w:hAnsi="Arial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352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After 3 months</w:t>
            </w:r>
          </w:p>
        </w:tc>
        <w:tc>
          <w:tcPr>
            <w:tcW w:w="352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After 6 months</w:t>
            </w:r>
          </w:p>
        </w:tc>
      </w:tr>
      <w:tr w:rsidR="00297CB3" w:rsidRPr="00147770" w:rsidTr="00446BB6">
        <w:trPr>
          <w:trHeight w:val="240"/>
        </w:trPr>
        <w:tc>
          <w:tcPr>
            <w:tcW w:w="190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Arial" w:eastAsia="Times New Roman" w:hAnsi="Arial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5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Between T0 and T1</w:t>
            </w:r>
          </w:p>
        </w:tc>
        <w:tc>
          <w:tcPr>
            <w:tcW w:w="35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Between T1 and T2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RS (SD)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95%CI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P-value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RS (SD)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95% CI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P-value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ES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GHS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3.82 (17.85)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 xml:space="preserve">0.20               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-0.03 (21.04)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-1.94 (18.66)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-14.39 (17.29)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(-21, -8)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-0.90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3.87 (15.86)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-8.33 (19.22)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-4)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6.78 (15.67)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 (19.04)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1.29 (17.51)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-0.25 (21.61)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7.65 (22.56)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(2, 13)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5.74 (24.93)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Physical functioning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1.54 (12.95)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-5.2 (12.86)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-1.33 (10.56)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-16.97 (18.83)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(-24, -10)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-1.10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-0.53 (11.11)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-9.56 (10.42)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(-12, -7)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1.30 (13.67)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-2.29 (8.5)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3.83 (14.47)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-3.94 (14.71)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-1)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3.95 (14.71)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-0.94 (14.42)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Role functioning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6.06 (21.71)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-8.17 (27.07)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1.67 (28.48)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-27.54 (36.45)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(-41, -14)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6.62 (19.98)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-15.69 (28.95)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(-22, -9)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3.26 (16.34)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-1.96 (18.45)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</w:t>
            </w: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 xml:space="preserve"> (26.57)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-5.88 (26.67)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(-11, 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6.12 (19.75)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-2.22 (29.67)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Emotional functioning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-7.56 (21.03)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2.20 (22.68)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-14.26 (21.73)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(-21, -8)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-13.89 (27.74)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(-24, -4)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-9.34 (20.97)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-5)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-5.66 (19.77)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(-10, -1)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-0.24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-8.52 (17.14)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-4)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8.94 (21.58)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-11.11 (23.15)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-6)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5.68 (21.83)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4.31 (21.64)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9)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5.24 (25.22)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Cognitive functioning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-3.94 (16.85)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-3.08 (20.03)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-7.22 (15.59)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(-12, -2)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-9.09 (30.31)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(-20,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-5.48 (20.04)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-2)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-10.58 (21.9)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-5)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-1.52 (10.67)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-2.33 (16.5)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-5.85 (19.29)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(-10, -2)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0.97 (18.28)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0.33 (15.61)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0.27  (19.6)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Social functioning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5.09 (19.43)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-5.96 (24.47)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8.33 (22.73)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-16.67 (39.44)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(-32, -2)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-0.54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5.32 (19.94)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(1, 9)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-10.90 (25.54)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(-17, -5)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3.17 (14.37)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-4.76 (16.67)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-1)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3.67 (20.55)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-1.23 (24.32)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6.33 (19.89)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-4.24 (24.87)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(-10,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Financial difficulties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-1.11 (15.32)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2.50 (16.26)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-2.56 (29.70)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12.70 (30.69)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(1, 24)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-1.45 (12.04)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8.16 (24.09)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(2, 14)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-1.63 (7.27)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-0.71 (4.86)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0.57 (15.91)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-1.01 (16.51)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-1.45 (18.53)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0.58 (13.35)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Fatigue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-1.20 (19.42)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10.83 (23.93)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9.20 (16.82)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27.29 (29.15)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(17, 38)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0.98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-4.57 (21.36)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19.92 (23.23)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(15, 25)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0.85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-2.17 (15.29)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3.70 (20.08)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-4.58  (21.29)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9.97 (23.76)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(5, 15)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0.44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2.49 (19.77)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3.39 (26.04)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9)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Nausea and vomiting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-1.37 (13.59)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3.59 (17.65)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-0.57 (10.43)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10.87 (27.8)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(1, 21)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-0.45 (15.35)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4.09 (14.58)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0.72 (9.91)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0.98 (10.23)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-5.26 (15.16)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-2)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-0.87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6.67 (25.44)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(2, 12)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-0.68 (14.42)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-1.15 (13.56)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Pain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-3.33 (22.51)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5.83 (22.2)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0.52 (36.29)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(-10, -11)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12.32 (25.73)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(3, 22)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lastRenderedPageBreak/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-4.67 (21.32)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-1)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15.43 (26.27)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(9, 21)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1.45 (18.2)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2.24 (13.21)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0.18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-7.31 (23.57)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-2)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-0.24 (23.14)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-3.67 (18.22)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4.92 (23.83)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Dyspnea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1.20 (15.16)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3.98 (22.4)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4.44 (11.52)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18.84 (33.07)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(7, 31)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2.28 (15.04)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3.85 (27.74)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10)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(12.31)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0.65 (10.52)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0.61 (17.56)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3.98 (22.11)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-0.69 (17.52)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1.15 (24.15)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Insomnia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6.83 (30.64)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3.08 (30.41)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13.33 (32.28)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(3, 23)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14.49 (37.37)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(1, 28)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0.48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2.42 (29.33)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10.9 (37.18)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7.25 (26.21)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3.33 (25.42)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9)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0.18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7.88 (37.93)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16)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-1.49 (29.83)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7.48 (27.44)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-3.51 (26.49)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Appetite loss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2.28 (21.05)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4.69 (22.2)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4.44 (28.68)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13)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18.84 (38.7)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(5, 33)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0.52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0.91 (20.77)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13.84 (24.84)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(8, 20)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0.51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4.35 (13.35)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(1, 8)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0.67 (15.78)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1.85 (22.82)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1.96 (21.46)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0.09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1.45 (22.17)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-3.03 (19.53)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Constipation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(22.61)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4.18 (25.89)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8.05 (27.68)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17)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11.11 (35.49)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24)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-4.90 (18.45)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-1)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4.17 (25.38)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10)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2.38 (18.61)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2.08 (14.43)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0.15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(27.22)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2.86 (35.32)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10)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(23.33)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 (21.10)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0.18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Diarrhea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2.42 (14.99)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0.94 (20.28)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0.06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-1.15 (10.85)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2)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4.55 (18.67)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11)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3.29 (16.09)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(0, 6)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3.47 (14.16)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(0, 7)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1.55 (12.50)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5)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-0.69 (14.57)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-0.07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2.98 (17.15)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7)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0.34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0.16</w:t>
            </w: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(26.81)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5)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297CB3" w:rsidRPr="00147770" w:rsidTr="00446BB6">
        <w:trPr>
          <w:trHeight w:val="225"/>
        </w:trPr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3.40 (15.58)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(0, 7)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(22.77)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5)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</w:tbl>
    <w:p w:rsidR="00297CB3" w:rsidRPr="00147770" w:rsidRDefault="00297CB3" w:rsidP="00297CB3">
      <w:pPr>
        <w:tabs>
          <w:tab w:val="left" w:pos="2115"/>
        </w:tabs>
        <w:jc w:val="both"/>
        <w:rPr>
          <w:rFonts w:ascii="Arial" w:eastAsia="Times New Roman" w:hAnsi="Arial"/>
          <w:sz w:val="32"/>
          <w:szCs w:val="32"/>
          <w:lang w:eastAsia="fr-FR"/>
        </w:rPr>
      </w:pPr>
      <w:r>
        <w:rPr>
          <w:rFonts w:ascii="Arial" w:eastAsia="Times New Roman" w:hAnsi="Arial"/>
          <w:szCs w:val="21"/>
          <w:lang w:val="en-GB" w:eastAsia="zh-CN"/>
        </w:rPr>
        <w:t>GHS: Global health status</w:t>
      </w:r>
      <w:r w:rsidRPr="009422E7">
        <w:rPr>
          <w:rFonts w:ascii="Arial" w:eastAsia="Times New Roman" w:hAnsi="Arial"/>
          <w:szCs w:val="21"/>
          <w:lang w:val="en-GB" w:eastAsia="zh-CN"/>
        </w:rPr>
        <w:t xml:space="preserve">; </w:t>
      </w:r>
      <w:r w:rsidRPr="00DA1EA2">
        <w:rPr>
          <w:rFonts w:ascii="Arial" w:eastAsia="Times New Roman" w:hAnsi="Arial"/>
          <w:szCs w:val="21"/>
          <w:lang w:val="en-GB" w:eastAsia="zh-CN"/>
        </w:rPr>
        <w:t>RS: Response Shift; SD: Standard Deviation; CI: Confidence Interval; ES: Effect Size</w:t>
      </w: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0B59A4" w:rsidRPr="00147770" w:rsidRDefault="000B59A4" w:rsidP="000B59A4">
      <w:pPr>
        <w:spacing w:after="0" w:line="360" w:lineRule="auto"/>
        <w:jc w:val="both"/>
        <w:rPr>
          <w:rFonts w:ascii="Arial" w:eastAsia="Times New Roman" w:hAnsi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/>
          <w:b/>
          <w:bCs/>
          <w:sz w:val="18"/>
          <w:szCs w:val="18"/>
          <w:lang w:val="en-GB" w:eastAsia="fr-FR"/>
        </w:rPr>
        <w:t xml:space="preserve">Table </w:t>
      </w:r>
      <w:proofErr w:type="spellStart"/>
      <w:r w:rsidR="009744BD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S</w:t>
      </w:r>
      <w:r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2</w:t>
      </w:r>
      <w:proofErr w:type="spellEnd"/>
      <w:r w:rsidRPr="00DA1EA2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:</w:t>
      </w:r>
      <w:r w:rsidRPr="00DA1EA2">
        <w:rPr>
          <w:rFonts w:ascii="Arial" w:eastAsia="Times New Roman" w:hAnsi="Arial"/>
          <w:sz w:val="18"/>
          <w:szCs w:val="18"/>
          <w:lang w:val="en-GB" w:eastAsia="fr-FR"/>
        </w:rPr>
        <w:t xml:space="preserve"> </w:t>
      </w:r>
      <w:r>
        <w:rPr>
          <w:rFonts w:ascii="Arial" w:eastAsia="Times New Roman" w:hAnsi="Arial"/>
          <w:sz w:val="18"/>
          <w:szCs w:val="18"/>
          <w:lang w:val="en-GB" w:eastAsia="fr-FR"/>
        </w:rPr>
        <w:t>The Response shift</w:t>
      </w:r>
      <w:r w:rsidRPr="00DA1EA2">
        <w:rPr>
          <w:rFonts w:ascii="Arial" w:eastAsia="Times New Roman" w:hAnsi="Arial"/>
          <w:sz w:val="18"/>
          <w:szCs w:val="18"/>
          <w:lang w:val="en-GB" w:eastAsia="fr-FR"/>
        </w:rPr>
        <w:t xml:space="preserve"> effect for the QLQ-BR23 questionnaire after three and six months</w:t>
      </w:r>
      <w:r>
        <w:rPr>
          <w:rFonts w:ascii="Arial" w:eastAsia="Times New Roman" w:hAnsi="Arial"/>
          <w:sz w:val="18"/>
          <w:szCs w:val="18"/>
          <w:lang w:val="en-GB" w:eastAsia="fr-FR"/>
        </w:rPr>
        <w:t xml:space="preserve"> for all patients and according to each category of the anchor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00"/>
        <w:gridCol w:w="380"/>
        <w:gridCol w:w="1140"/>
        <w:gridCol w:w="940"/>
        <w:gridCol w:w="880"/>
        <w:gridCol w:w="480"/>
        <w:gridCol w:w="380"/>
        <w:gridCol w:w="1080"/>
        <w:gridCol w:w="940"/>
        <w:gridCol w:w="880"/>
        <w:gridCol w:w="480"/>
      </w:tblGrid>
      <w:tr w:rsidR="00297CB3" w:rsidRPr="00147770" w:rsidTr="00446BB6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382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After 3 months</w:t>
            </w:r>
          </w:p>
        </w:tc>
        <w:tc>
          <w:tcPr>
            <w:tcW w:w="376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After 6 months</w:t>
            </w:r>
          </w:p>
        </w:tc>
      </w:tr>
      <w:tr w:rsidR="00297CB3" w:rsidRPr="00147770" w:rsidTr="00446BB6">
        <w:trPr>
          <w:trHeight w:val="315"/>
        </w:trPr>
        <w:tc>
          <w:tcPr>
            <w:tcW w:w="17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Between T0 and T1</w:t>
            </w:r>
          </w:p>
        </w:tc>
        <w:tc>
          <w:tcPr>
            <w:tcW w:w="376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Between T1 and T2</w:t>
            </w:r>
          </w:p>
        </w:tc>
      </w:tr>
      <w:tr w:rsidR="00297CB3" w:rsidRPr="00147770" w:rsidTr="00446BB6">
        <w:trPr>
          <w:trHeight w:val="240"/>
        </w:trPr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QLQ-BR23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RS (SD)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 95%CI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</w:t>
            </w: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P-value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RS (SD)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 95%CI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P-value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ES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Body image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6.50 (20.73)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-7.18 (22.33)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6.45 (24.67)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14)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-35.32 (38.5)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(-50, -21)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-1.11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5.04 (17.89)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(1, 9)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-11.17 (21.1)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-6)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-0.37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3.25 (14.54)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7)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-3.62 (12.25)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-1)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-0.19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9.98 (23)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-2.74 (24.7)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-0.09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8.02 (25.98)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-1.05 (22.85)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-0.04</w:t>
            </w:r>
          </w:p>
        </w:tc>
      </w:tr>
      <w:tr w:rsidR="00297CB3" w:rsidRPr="00147770" w:rsidTr="00446BB6">
        <w:trPr>
          <w:trHeight w:val="2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Sexual functioning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0.76 (15.06)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4.29 (18.88)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0.19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5.77 (16.29)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(0, 11)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16.67 (24.85)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(7, 27)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0.95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0.60 (15.56)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10.96 (19.86)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(6, 16)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0.52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1.96 (15.77)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7)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0.41 (18.44)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0.01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-1.94 (12.71)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0.89 (16.02)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-0.43 (15.53)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1.14 (19.49)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</w:tr>
      <w:tr w:rsidR="00297CB3" w:rsidRPr="00147770" w:rsidTr="00446BB6">
        <w:trPr>
          <w:trHeight w:val="2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Sexual enjoyment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-4.05 (20.74)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3.15 (23.49)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0.13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-4.17 (21.36)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(-18, 10)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 (16.67)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(5, 45)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-2.90 (24.44)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(-12, 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2.08 (30.96)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(-11, 16)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0.10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-6.25 (13.44)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(-12, 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1.45 (25.58)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11)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0.06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-3.03 (23.35)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10)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2.08 (14.75)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9)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0.08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-4.17 (20.64)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2.22 (23.46)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13)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0.09</w:t>
            </w:r>
          </w:p>
        </w:tc>
      </w:tr>
      <w:tr w:rsidR="00297CB3" w:rsidRPr="00147770" w:rsidTr="00446BB6">
        <w:trPr>
          <w:trHeight w:val="2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Future perspectives 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-7.91 (30.3)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1.27 (30.77)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0.04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-6.45 (31.53)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-18.18 (32.1)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(-30, -6)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-0.74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-16.18 (27.31)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(-22, -11)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-4.17 (31.98)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(-12,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-0.13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-13.18 (29.22)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(-21, -6)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4.76 (34.69)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13)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0.18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-6.94 (32.95)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(-15, 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-0.28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7.41 (25.71)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(2, 13)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7.25 (32.14)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15)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3.7 (31.5)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11)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0.11</w:t>
            </w:r>
          </w:p>
        </w:tc>
      </w:tr>
      <w:tr w:rsidR="00297CB3" w:rsidRPr="00147770" w:rsidTr="00446BB6">
        <w:trPr>
          <w:trHeight w:val="42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Systemic therapy side effects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0.42 (12.32)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8.16 (16.76)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0.42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-0.40 (15.17)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23.19 (21.5)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(15, 31)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1.25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0.96 (12.49)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13.76 (19.15)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(9, 18)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0.73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-0.56 (8.12)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2.22 (8.64)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0.19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(12.64)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8.13 (19.39)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0.45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1.52 (13.62)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2.52 (17.02)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0.15</w:t>
            </w:r>
          </w:p>
        </w:tc>
      </w:tr>
      <w:tr w:rsidR="00297CB3" w:rsidRPr="00147770" w:rsidTr="00446BB6">
        <w:trPr>
          <w:trHeight w:val="2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Breast symptoms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-2.59 (19.13)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8.54 (20.19)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0.35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0.56 (18.37)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7)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10.56 (21)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0.42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 (17.94)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(0, 8)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10.76 (19.94)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(6, 16)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-0.62 (11.35)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0.68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-0.07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7.34 (16.22)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(3, 12)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0.47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-9.49 (21.49)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(-14, -5)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-0.76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5.84 (14.8)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(3, 9)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-6.50 (25.04)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(-13, 0)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-0.36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10.09 (30.08)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(3, 17)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0.39</w:t>
            </w:r>
          </w:p>
        </w:tc>
      </w:tr>
      <w:tr w:rsidR="00297CB3" w:rsidRPr="00147770" w:rsidTr="00446BB6">
        <w:trPr>
          <w:trHeight w:val="2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Arm symptoms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-1.94 (16.33)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3.81 (19.17)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0.21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-2.49 (20.66)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6.17 (17.14)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13)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0.29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0.66 (18)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0.05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10.19 (20.06)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(5, 15)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0.47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1.36 (7.93)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3)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 (10.88)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(1, 7)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0.36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-3.13 (18.07)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1)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(17.51)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4)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</w:t>
            </w:r>
          </w:p>
        </w:tc>
      </w:tr>
      <w:tr w:rsidR="00297CB3" w:rsidRPr="00147770" w:rsidTr="00446BB6">
        <w:trPr>
          <w:trHeight w:val="225"/>
        </w:trPr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-7.24 (16.6)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(-11, -3)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1.72 (15.71)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5)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B97B38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B97B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fr-FR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0.13</w:t>
            </w:r>
          </w:p>
        </w:tc>
      </w:tr>
    </w:tbl>
    <w:p w:rsidR="00297CB3" w:rsidRPr="00147770" w:rsidRDefault="00297CB3" w:rsidP="00297CB3">
      <w:pPr>
        <w:tabs>
          <w:tab w:val="left" w:pos="2115"/>
        </w:tabs>
        <w:jc w:val="both"/>
        <w:rPr>
          <w:rFonts w:ascii="Arial" w:eastAsia="Times New Roman" w:hAnsi="Arial"/>
          <w:sz w:val="32"/>
          <w:szCs w:val="32"/>
          <w:lang w:eastAsia="fr-FR"/>
        </w:rPr>
      </w:pPr>
      <w:r w:rsidRPr="00DA1EA2">
        <w:rPr>
          <w:rFonts w:ascii="Arial" w:eastAsia="Times New Roman" w:hAnsi="Arial"/>
          <w:szCs w:val="21"/>
          <w:lang w:val="en-GB" w:eastAsia="zh-CN"/>
        </w:rPr>
        <w:t>RS: Response Shift; SD: Standard Deviation; CI: Confidence Interval; ES: Effect Size</w:t>
      </w:r>
    </w:p>
    <w:p w:rsidR="00297CB3" w:rsidRPr="00147770" w:rsidRDefault="00297CB3" w:rsidP="00297CB3">
      <w:pPr>
        <w:tabs>
          <w:tab w:val="left" w:pos="2115"/>
        </w:tabs>
        <w:jc w:val="both"/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spacing w:after="0"/>
        <w:rPr>
          <w:rFonts w:ascii="Arial" w:eastAsia="Times New Roman" w:hAnsi="Arial"/>
          <w:b/>
          <w:bCs/>
          <w:sz w:val="18"/>
          <w:szCs w:val="18"/>
          <w:lang w:eastAsia="fr-FR"/>
        </w:rPr>
      </w:pPr>
    </w:p>
    <w:p w:rsidR="000B59A4" w:rsidRPr="00297CB3" w:rsidRDefault="000B59A4" w:rsidP="000B59A4">
      <w:pPr>
        <w:tabs>
          <w:tab w:val="left" w:pos="3896"/>
        </w:tabs>
        <w:spacing w:after="0"/>
        <w:rPr>
          <w:rFonts w:ascii="Arial" w:eastAsia="Times New Roman" w:hAnsi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Table</w:t>
      </w:r>
      <w:r w:rsidRPr="00297CB3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 xml:space="preserve"> </w:t>
      </w:r>
      <w:proofErr w:type="spellStart"/>
      <w:r w:rsidR="009744BD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S</w:t>
      </w:r>
      <w:r w:rsidRPr="00297CB3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3</w:t>
      </w:r>
      <w:proofErr w:type="spellEnd"/>
      <w:r w:rsidRPr="00297CB3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 xml:space="preserve">: </w:t>
      </w:r>
      <w:r w:rsidRPr="00297CB3">
        <w:rPr>
          <w:rStyle w:val="Heading2Char"/>
          <w:rFonts w:ascii="Arial" w:eastAsia="MS Mincho" w:hAnsi="Arial"/>
          <w:b w:val="0"/>
          <w:bCs w:val="0"/>
          <w:color w:val="auto"/>
          <w:sz w:val="18"/>
          <w:szCs w:val="18"/>
          <w:lang w:eastAsia="zh-CN"/>
        </w:rPr>
        <w:t>Observed and adjusted changes of the QLQ–C30 questionnaire after three and six months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511"/>
        <w:gridCol w:w="378"/>
        <w:gridCol w:w="1013"/>
        <w:gridCol w:w="691"/>
        <w:gridCol w:w="1078"/>
        <w:gridCol w:w="735"/>
        <w:gridCol w:w="378"/>
        <w:gridCol w:w="1013"/>
        <w:gridCol w:w="691"/>
        <w:gridCol w:w="1035"/>
        <w:gridCol w:w="689"/>
      </w:tblGrid>
      <w:tr w:rsidR="00297CB3" w:rsidRPr="00147770" w:rsidTr="00446BB6">
        <w:trPr>
          <w:trHeight w:val="300"/>
        </w:trPr>
        <w:tc>
          <w:tcPr>
            <w:tcW w:w="82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 </w:t>
            </w:r>
          </w:p>
        </w:tc>
        <w:tc>
          <w:tcPr>
            <w:tcW w:w="2114" w:type="pct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After 3 months</w:t>
            </w:r>
          </w:p>
        </w:tc>
        <w:tc>
          <w:tcPr>
            <w:tcW w:w="2066" w:type="pct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After 6 months</w:t>
            </w:r>
          </w:p>
        </w:tc>
      </w:tr>
      <w:tr w:rsidR="00297CB3" w:rsidRPr="00147770" w:rsidTr="00446BB6">
        <w:trPr>
          <w:trHeight w:val="315"/>
        </w:trPr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  <w:t> </w:t>
            </w:r>
          </w:p>
        </w:tc>
        <w:tc>
          <w:tcPr>
            <w:tcW w:w="2114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Between T0 and T1</w:t>
            </w:r>
          </w:p>
        </w:tc>
        <w:tc>
          <w:tcPr>
            <w:tcW w:w="2066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Between T1 and T2</w:t>
            </w: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  <w:t> </w:t>
            </w:r>
          </w:p>
        </w:tc>
        <w:tc>
          <w:tcPr>
            <w:tcW w:w="925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 xml:space="preserve">  Observed changes</w:t>
            </w:r>
          </w:p>
        </w:tc>
        <w:tc>
          <w:tcPr>
            <w:tcW w:w="984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 xml:space="preserve">   Adjusted changes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925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 xml:space="preserve">  Observed changes</w:t>
            </w:r>
          </w:p>
        </w:tc>
        <w:tc>
          <w:tcPr>
            <w:tcW w:w="936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 xml:space="preserve">   Adjusted changes</w:t>
            </w:r>
          </w:p>
        </w:tc>
      </w:tr>
      <w:tr w:rsidR="00297CB3" w:rsidRPr="00147770" w:rsidTr="00446BB6">
        <w:trPr>
          <w:trHeight w:val="195"/>
        </w:trPr>
        <w:tc>
          <w:tcPr>
            <w:tcW w:w="8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  <w:t> 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  <w:t> </w:t>
            </w:r>
          </w:p>
        </w:tc>
        <w:tc>
          <w:tcPr>
            <w:tcW w:w="92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(post-test - pre-test)</w:t>
            </w:r>
          </w:p>
        </w:tc>
        <w:tc>
          <w:tcPr>
            <w:tcW w:w="984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(post-test - then-test)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92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(post-test - pre-test)</w:t>
            </w:r>
          </w:p>
        </w:tc>
        <w:tc>
          <w:tcPr>
            <w:tcW w:w="93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(post-test - then-test)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  <w:r w:rsidRPr="00147770"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  <w:t> 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Mean (SD)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95% CI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Mean (SD)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95% CI</w:t>
            </w:r>
          </w:p>
        </w:tc>
        <w:tc>
          <w:tcPr>
            <w:tcW w:w="20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N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Mean (SD)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95% CI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Mean (SD)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95% CI</w:t>
            </w:r>
          </w:p>
        </w:tc>
      </w:tr>
      <w:tr w:rsidR="00297CB3" w:rsidRPr="00147770" w:rsidTr="00446BB6">
        <w:trPr>
          <w:trHeight w:val="4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 xml:space="preserve">                                             GHS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-28.33 (26.86)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(-37, -20)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-30.28 ( 22.48)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(-37, -23)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-7.2 (20.46)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(-15, 0)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-21.59 ( 24.62)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(-31, -13)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-16.31 (16.99)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(-20, -13)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-12.44 ( 16.78)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(-16, -9)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0.49 (15.4)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-7.84 ( 15.22)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(-11, -4)</w:t>
            </w:r>
          </w:p>
        </w:tc>
      </w:tr>
      <w:tr w:rsidR="00297CB3" w:rsidRPr="00147770" w:rsidTr="00446BB6">
        <w:trPr>
          <w:trHeight w:val="225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-2.13 (16.17)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4.65 ( 17.85)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 (16.12)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 ( 14.71)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0.29 (18.4)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1.58 ( 14.93)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7.21 (17.22)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6.97 ( 16.70)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7.31 (21.69)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(2, 13)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14.97 ( 20.41)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(10, 20)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15.16 (17.7)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(11, 19)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20.90 ( 18.55)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(17, 25)</w:t>
            </w:r>
          </w:p>
        </w:tc>
      </w:tr>
      <w:tr w:rsidR="00297CB3" w:rsidRPr="00147770" w:rsidTr="00446BB6">
        <w:trPr>
          <w:trHeight w:val="36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Physical functioning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-24.67 (15.87)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(-30, -20)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-26 ( 14.26)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(-30, -22)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-6.06 (15.92)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(-12, 0)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-23.03 ( 19.05)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(-30, -16)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-11.76 (10.99)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-10)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-12.28 ( 12.71)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(-15, -10)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0.38 (11.43)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-9.18 ( 12.83)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(-12, -6)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-3.99 (10.17)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-1)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-2.68 ( 12.76)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(-6, 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0.72 (6.97)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-1.57 ( 6.34)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-4.53 (12.89)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-2)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-0.70 ( 11.86)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(-3, 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0.85 (13.02)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-3.09 ( 14.03)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-1.90 (10.89)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2.04 ( 14.29)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4.53 (11.63)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(2, 7)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3.58 ( 11.34)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(1, 6)</w:t>
            </w: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Role functioning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  <w:t xml:space="preserve">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-59.44 (29.91)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(-69, -50)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-57.78 ( 24.66)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(-65, -50)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-7.25 (28.79)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(-18,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-34.78 ( 32.53)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(-46, -23)</w:t>
            </w: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-25.57 (21.71)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(-30, -21)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-18.95 ( 23.78)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(-24, -14)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-1.96 (29.18)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5)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-17.65 ( 29.14)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(-24, -11)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-2.90 (19.66)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0.36 ( 21.80)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(-5, 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3.92 (15.49)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1.96 ( 19.05)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6)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-9.09 (20.74)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-4)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0.91 ( 24.72)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(-5, 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5.88 (21.89)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( 23.92)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 ,5)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-2.38 (20.41)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3.74 ( 20.49)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(-1, 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14.17 (27.4)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(8, 2)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11.94 ( 22.57)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(7, 17)</w:t>
            </w:r>
          </w:p>
        </w:tc>
      </w:tr>
      <w:tr w:rsidR="00297CB3" w:rsidRPr="00147770" w:rsidTr="00446BB6">
        <w:trPr>
          <w:trHeight w:val="36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Emotional functioning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-2.96 (34.81)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-17.22 ( 27.93)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(-26, -9)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-3.16 (25.48)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(-13,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-17.05 ( 32.07)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(-29, -5)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3.05 (24.09)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-6.29 ( 22.02)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(-11, -2)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-0.53 (20.19)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-6.20 ( 16.43)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(-10, -2)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19.44 (18.31)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(15, 24)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10.92 ( 18.26)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(6, 16)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-0.78 (15.55)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8.17 ( 21.26)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(3, 13)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15.07  (26.33)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(9, 21)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3.95 ( 19.51)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8)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1.53 (20.05)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7.21 ( 19.13)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(3, 11)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10.60 (22.75)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(5, 16)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14.91 ( 23.64)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(9, 21)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12.93 (23.7)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(8, 18)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18.17 ( 22.18)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(13, 23)</w:t>
            </w:r>
          </w:p>
        </w:tc>
      </w:tr>
      <w:tr w:rsidR="00297CB3" w:rsidRPr="00147770" w:rsidTr="00446BB6">
        <w:trPr>
          <w:trHeight w:val="36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Cognitive  functioning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-15.56 (23.95)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(-23, -8)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-22.78 ( 24.56)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(-30, -15)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-9.09 (28.04)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(-19, 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-18.18 ( 24.08)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(-27, -9)</w:t>
            </w: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-5.48 (19.46)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-2)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-10.96 ( 18.26)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(-15, -7)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0.96 (17.9)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5)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-9.62 ( 19.06)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-5)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0.76 (13.43)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-0.76 ( 12.43)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(-4, 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2.67 (12.31)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0.33 ( 15.97)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4)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5.26 (21.4)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-0.58 ( 17.24)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(-4, 3)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3.62 (13.37)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4.59 ( 17.82)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(1, 8)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 (13.74)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5)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2.33 ( 14.68)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(-1, 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5.46 (13.17)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5.74 ( 15.78)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(2, 9)</w:t>
            </w:r>
          </w:p>
        </w:tc>
      </w:tr>
      <w:tr w:rsidR="00297CB3" w:rsidRPr="00147770" w:rsidTr="00446BB6">
        <w:trPr>
          <w:trHeight w:val="36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Social functioning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-48.72 (30.16)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(-59, -39)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-40.38 ( 36.26)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(-53, -28)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-15.87 (34.4)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(-29, -3)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-32.54 ( 39.96)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(-48, -18)</w:t>
            </w:r>
          </w:p>
        </w:tc>
      </w:tr>
      <w:tr w:rsidR="00297CB3" w:rsidRPr="00147770" w:rsidTr="00446BB6">
        <w:trPr>
          <w:trHeight w:val="30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-20.37 (21.34)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(-25, -16)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-15.05 ( 14.84)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(-18, -12)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0.64 (24.47)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-10.26 ( 20.39)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(-15, -6)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-3.97 (21.08)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-0.79 ( 17.25)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(-5, 4)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4.42 (19.18)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(0, 9)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-0.34 ( 12.50)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-6.78 (19.6)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(-11, -3)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-3.11 ( 18.95)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(-7, 1)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3.43 (20.68)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2.21 ( 21.34)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7)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0.33 (23.2)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6.67 ( 17.17)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(3, 11)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11.9 (23.58)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(7, 17)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7.63 ( 15.26)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Fatigue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43.68 (33.72)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(33, 54)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52.87 ( 28.74)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(44, 62)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6.28 (38.17)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20)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33.57 ( 37.17)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(20, 47)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27.32 (21.87)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(23, 32)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22.75 ( 22.38)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(18, 27)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0.21 (16.34)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20.13 ( 24.17)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(15, 26)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7.73 (18.42)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(3, 12)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5.56 ( 19.42)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(1, 10)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-1.53 (19.5)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2.18 ( 19.75)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7)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7.89 (19.47)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3.31 ( 17.97)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(-1, 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-7.68 (18.24)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(-11, -4)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2.29 ( 22.92)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7)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-2.27 (21.84)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0.23 ( 18.63)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(-4,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-13.40 (25.08)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(-19, -8)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-9.98 ( 21.11)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(-15, -5)</w:t>
            </w:r>
          </w:p>
        </w:tc>
      </w:tr>
      <w:tr w:rsidR="00297CB3" w:rsidRPr="00147770" w:rsidTr="00446BB6">
        <w:trPr>
          <w:trHeight w:val="36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Nausea and vomiting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18.39 (26.48)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(10, 27)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17.82 ( 25.17)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(10, 26)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-0.72 (39.72)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(-15, 13)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10.14 ( 30.04)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21)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lastRenderedPageBreak/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8.78 (19.35)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(5, 13)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8.33 ( 15.67)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(5, 11)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-3.14 (21.7)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0.94 ( 17.73)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5)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-0.72 (12.65)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0 ( 8.61)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-2.29 (10.01)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0)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-1.31 ( 12.40)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9.06 (21.38)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3.80 ( 17.82)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8)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-6.67 (23.98)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(-11, -2)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( 13.31)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-2.04 (15.07)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-2.72 ( 9.83)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(-5, 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-4.02 (11.81)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-1)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-5.17 ( 11.77)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-3)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Pain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24.48 (36.66)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(13, 35)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25 ( 35.42)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(14, 36)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13.8 (23.38)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(5, 22)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26.09 ( 34.75)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(14, 39)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13.78 (24.87)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(9, 19)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9.11 ( 23.14)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(5, 14)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1.85 (22.35)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7)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17.28 ( 25.89)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(11, 23)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3.99 (14.57)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5.43 ( 17.23)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(1, 10)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3.21 (14.02)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5.45 ( 17.06)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(1, 9)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9.94 (20.62)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(5, 15)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2.63 ( 21.08)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2.14 (20.05)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1.90 ( 22.97)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6)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8.33 (19.71)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4.67 ( 19.06)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-12.3 (22.55)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(-17, -7)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-7.38 ( 20.30)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(-12, -3)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Dyspnea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17.78 (25.87)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(10, 26)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22.22 ( 23.71)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(15, 30)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4.35 (33.79)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16)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23.19 ( 30.87)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(12, 34)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8.68 (24.86)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(4, 14)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10.96 ( 23.61)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(6, 16)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3.85 (26.94)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10)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7.69 ( 18.22)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(3, 12)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0.74 (19.45)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0.74 ( 18.10)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(-4,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-0.65 (12.45)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( 11.55)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1.21 (19.21)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1.82 ( 16.25)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3.48 (22.57)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7.46 ( 23.08)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(3, 12)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-2.08 (21.09)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-2.78 ( 15.12)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(-6, 1)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-2.30 (23.25)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-1.15 ( 20.68)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Insomnia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15.56 (38.89)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(3, 28)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28.89 ( 28.68)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(20, 38)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4.35 (36.66)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17)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18.84 ( 39.98)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(5, 33)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5.80 (35.22)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13)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8.21 ( 28.24)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(3, 14)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4.49 (30.98)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12)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15.38 ( 24.22)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 xml:space="preserve"> (10, 21)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-10.14 (35.04)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(-19, -1)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-2.90 ( 25.17)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(-9, 3)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-1.33 (21.25)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 ( 28.89)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9)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-7.27 (34.95)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(-15, 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0.61 ( 25.25)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(-5, 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 (30.13)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7)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-0.50 ( 22.09)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4)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-10.88 (36.25)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(-20, -2)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-3.4 ( 28.26)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(-10, 3)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-8.19 (26.19)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-2)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-11.7 ( 20.40)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(-16, -7)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Appetite loss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24.44 (43.71)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(11, 38)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28.89 (33.6)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(18, 39)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-8.7(35.13)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(-21, 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10.14 ( 32.47)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22)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10.05 (28.16)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(5, 16)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10.96 (27.25)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(6, 16)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-10.06(25.8)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(-16, -4)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3.77 ( 20.32)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8)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-2.90 (20.88)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1.45 (17.15)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(-3, 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-2.67(9.13)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-1)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 ( 12.44)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54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1.85 (22.82)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7)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3.70 (15.41)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-2.45(20.21)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-0.49 ( 14.67)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-8.70 (20.41)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-4)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-7.25 (18.48)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(-12, -3)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55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-4.85(14.93)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-1)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-7.88 ( 20.25)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(-12, -3)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Constipation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9.20 (40.72)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22)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17.24 ( 29.03)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(8, 26)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4.76 (43.83)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(-12, 21)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15.87 ( 41.66)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(0, 32)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15.20 (30.16)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(9, 21)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10.29 ( 27.77)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(5, 16)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-1.39 (24.75)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5)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2.78 ( 21.56)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8)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(19.48)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5)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2.38 ( 18.61)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-3.47 (12.38)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0)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-1.39 ( 9.62)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(26.49)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0 ( 16.52)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(-4, 4)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-2.86 (30.95)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(26.62)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5)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1.33 (23.29)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7)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1.33 ( 13.40)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-9.44 (27.51)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(-15, -4)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-4.44 ( 22.52)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Diarrhea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10.34 (25.36)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(2, 18)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9.21 ( 23.40)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(2, 17)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22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-3.03 (30.7)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(-14, 8)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1.52 ( 24.07)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(-7, 10)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71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(21.08)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3.29 ( 18.07)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6)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0.69 (14.57)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4)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4.17 ( 13.09)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(1, 7)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43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-2.33 (15.25)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2)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-0.78 ( 11.47)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(-4, 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-1.39 (9.62)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-2.08 ( 10.67)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-0.6 (21.55)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(-5, 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2.38 ( 20.94)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7)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-1.93 (17.97)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(-6,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-1.93 ( 20.52)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 xml:space="preserve">(-6, 2)                          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-4.12 (17.52)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0)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-0.70 ( 10.74)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(-3, 2)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-4.92 (17.04)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-1)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2.19  ( 15.91)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-2)</w:t>
            </w:r>
          </w:p>
        </w:tc>
      </w:tr>
      <w:tr w:rsidR="00297CB3" w:rsidRPr="00147770" w:rsidTr="00446BB6">
        <w:trPr>
          <w:trHeight w:val="36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GB" w:eastAsia="fr-FR"/>
              </w:rPr>
              <w:t>Financial difficulties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240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14.10 (36.72)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(2, 26)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11.54 ( 22.98)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(4, 19)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21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-3.17 (14.55)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(-9,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9.52 ( 28.17)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20)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worse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9.66 (22.94)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(5, 14)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8.21 ( 22.44)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(4, 13)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49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-3.40 (20.69)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(-8, 2)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4.76 ( 21.52)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(0, 1)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No change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41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4.07 (13.32)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(1, 8)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2.44 ( 8.79)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(0,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47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 (0)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(NA)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-0.71 ( 4.86)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0)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Little better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58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1.15 (22.48)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(-4, 6)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1.72 ( 15.82)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(-2, 5)</w:t>
            </w:r>
          </w:p>
        </w:tc>
        <w:tc>
          <w:tcPr>
            <w:tcW w:w="2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66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1.52 (9.12)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(0, 3)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0.51 ( 16</w:t>
            </w: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)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4)</w:t>
            </w:r>
          </w:p>
        </w:tc>
      </w:tr>
      <w:tr w:rsidR="00297CB3" w:rsidRPr="00147770" w:rsidTr="00446BB6">
        <w:trPr>
          <w:trHeight w:val="180"/>
        </w:trPr>
        <w:tc>
          <w:tcPr>
            <w:tcW w:w="8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Much better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46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3.62 (21.35)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(-2, 9)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2.17 ( 10.89)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 (-1, 5)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57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0.58 (14.76)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(-3, 4)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1.17 ( 10.85)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GB" w:eastAsia="fr-FR"/>
              </w:rPr>
              <w:t>(-1, 4)</w:t>
            </w:r>
          </w:p>
        </w:tc>
      </w:tr>
    </w:tbl>
    <w:p w:rsidR="00297CB3" w:rsidRPr="009422E7" w:rsidRDefault="00297CB3" w:rsidP="00297CB3">
      <w:pPr>
        <w:tabs>
          <w:tab w:val="left" w:pos="3896"/>
        </w:tabs>
        <w:spacing w:after="0" w:line="240" w:lineRule="auto"/>
        <w:rPr>
          <w:rFonts w:ascii="Arial" w:eastAsia="Times New Roman" w:hAnsi="Arial"/>
          <w:lang w:eastAsia="fr-FR"/>
        </w:rPr>
      </w:pPr>
      <w:r w:rsidRPr="009422E7">
        <w:rPr>
          <w:rFonts w:ascii="Arial" w:eastAsia="Times New Roman" w:hAnsi="Arial"/>
          <w:szCs w:val="21"/>
          <w:lang w:val="en-GB" w:eastAsia="fr-FR"/>
        </w:rPr>
        <w:t xml:space="preserve">GHS: Global </w:t>
      </w:r>
      <w:r>
        <w:rPr>
          <w:rFonts w:ascii="Arial" w:eastAsia="Times New Roman" w:hAnsi="Arial"/>
          <w:szCs w:val="21"/>
          <w:lang w:val="en-GB" w:eastAsia="fr-FR"/>
        </w:rPr>
        <w:t>h</w:t>
      </w:r>
      <w:r w:rsidRPr="009422E7">
        <w:rPr>
          <w:rFonts w:ascii="Arial" w:eastAsia="Times New Roman" w:hAnsi="Arial"/>
          <w:szCs w:val="21"/>
          <w:lang w:val="en-GB" w:eastAsia="fr-FR"/>
        </w:rPr>
        <w:t xml:space="preserve">ealth </w:t>
      </w:r>
      <w:r>
        <w:rPr>
          <w:rFonts w:ascii="Arial" w:eastAsia="Times New Roman" w:hAnsi="Arial"/>
          <w:szCs w:val="21"/>
          <w:lang w:val="en-GB" w:eastAsia="fr-FR"/>
        </w:rPr>
        <w:t>status</w:t>
      </w:r>
      <w:r w:rsidRPr="009422E7">
        <w:rPr>
          <w:rFonts w:ascii="Arial" w:eastAsia="Times New Roman" w:hAnsi="Arial"/>
          <w:szCs w:val="21"/>
          <w:lang w:val="en-GB" w:eastAsia="fr-FR"/>
        </w:rPr>
        <w:t xml:space="preserve">; </w:t>
      </w:r>
      <w:r w:rsidRPr="00DA1EA2">
        <w:rPr>
          <w:rFonts w:ascii="Arial" w:eastAsia="Times New Roman" w:hAnsi="Arial"/>
          <w:szCs w:val="21"/>
          <w:lang w:val="en-GB" w:eastAsia="fr-FR"/>
        </w:rPr>
        <w:t>Observed changes: Post-test – Pre-test; adjusted changes: Post-test – Then-test</w:t>
      </w:r>
      <w:r>
        <w:rPr>
          <w:rFonts w:ascii="Arial" w:eastAsia="Times New Roman" w:hAnsi="Arial"/>
          <w:lang w:eastAsia="fr-FR"/>
        </w:rPr>
        <w:t xml:space="preserve">; </w:t>
      </w:r>
      <w:r w:rsidRPr="00DA1EA2">
        <w:rPr>
          <w:rFonts w:ascii="Arial" w:eastAsia="Times New Roman" w:hAnsi="Arial"/>
          <w:szCs w:val="21"/>
          <w:lang w:val="en-GB" w:eastAsia="zh-CN"/>
        </w:rPr>
        <w:t>SD: Standard Deviation; CI: Confidence Interval</w:t>
      </w: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297CB3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</w:p>
    <w:p w:rsidR="000B59A4" w:rsidRPr="00147770" w:rsidRDefault="000B59A4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  <w:bookmarkStart w:id="0" w:name="_GoBack"/>
      <w:bookmarkEnd w:id="0"/>
    </w:p>
    <w:p w:rsidR="00297CB3" w:rsidRPr="00147770" w:rsidRDefault="00297CB3" w:rsidP="00297CB3">
      <w:pPr>
        <w:tabs>
          <w:tab w:val="left" w:pos="3896"/>
        </w:tabs>
        <w:spacing w:after="0"/>
        <w:rPr>
          <w:rFonts w:ascii="Arial" w:eastAsia="Times New Roman" w:hAnsi="Arial"/>
          <w:sz w:val="32"/>
          <w:szCs w:val="32"/>
          <w:lang w:eastAsia="fr-FR"/>
        </w:rPr>
      </w:pPr>
    </w:p>
    <w:p w:rsidR="000B59A4" w:rsidRPr="00297CB3" w:rsidRDefault="000B59A4" w:rsidP="000B59A4">
      <w:pPr>
        <w:tabs>
          <w:tab w:val="left" w:pos="3896"/>
        </w:tabs>
        <w:spacing w:after="0"/>
        <w:rPr>
          <w:rFonts w:ascii="Arial" w:eastAsia="Times New Roman" w:hAnsi="Arial"/>
          <w:b/>
          <w:bCs/>
          <w:sz w:val="18"/>
          <w:szCs w:val="18"/>
          <w:lang w:eastAsia="fr-FR"/>
        </w:rPr>
      </w:pPr>
      <w:r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Table</w:t>
      </w:r>
      <w:r w:rsidRPr="00297CB3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 xml:space="preserve"> </w:t>
      </w:r>
      <w:proofErr w:type="spellStart"/>
      <w:r w:rsidR="009744BD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S</w:t>
      </w:r>
      <w:r w:rsidRPr="00297CB3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>4</w:t>
      </w:r>
      <w:proofErr w:type="spellEnd"/>
      <w:r w:rsidRPr="00297CB3">
        <w:rPr>
          <w:rFonts w:ascii="Arial" w:eastAsia="Times New Roman" w:hAnsi="Arial"/>
          <w:b/>
          <w:bCs/>
          <w:sz w:val="18"/>
          <w:szCs w:val="18"/>
          <w:lang w:val="en-GB" w:eastAsia="fr-FR"/>
        </w:rPr>
        <w:t xml:space="preserve">: </w:t>
      </w:r>
      <w:r w:rsidRPr="00297CB3">
        <w:rPr>
          <w:rStyle w:val="Heading2Char"/>
          <w:rFonts w:ascii="Arial" w:eastAsia="MS Mincho" w:hAnsi="Arial"/>
          <w:b w:val="0"/>
          <w:bCs w:val="0"/>
          <w:color w:val="auto"/>
          <w:sz w:val="18"/>
          <w:szCs w:val="18"/>
          <w:lang w:eastAsia="zh-CN"/>
        </w:rPr>
        <w:t>Observed and adjusted changes of the QLQ–BR23 questionnaire after three and six months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69"/>
        <w:gridCol w:w="380"/>
        <w:gridCol w:w="1060"/>
        <w:gridCol w:w="754"/>
        <w:gridCol w:w="1100"/>
        <w:gridCol w:w="754"/>
        <w:gridCol w:w="380"/>
        <w:gridCol w:w="1060"/>
        <w:gridCol w:w="700"/>
        <w:gridCol w:w="1100"/>
        <w:gridCol w:w="755"/>
      </w:tblGrid>
      <w:tr w:rsidR="00297CB3" w:rsidRPr="00147770" w:rsidTr="00446BB6">
        <w:trPr>
          <w:trHeight w:val="225"/>
        </w:trPr>
        <w:tc>
          <w:tcPr>
            <w:tcW w:w="2832" w:type="pct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                             After 3 months</w:t>
            </w:r>
          </w:p>
        </w:tc>
        <w:tc>
          <w:tcPr>
            <w:tcW w:w="2168" w:type="pct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                           After 6 months</w:t>
            </w:r>
          </w:p>
        </w:tc>
      </w:tr>
      <w:tr w:rsidR="00297CB3" w:rsidRPr="00147770" w:rsidTr="00446BB6">
        <w:trPr>
          <w:trHeight w:val="240"/>
        </w:trPr>
        <w:tc>
          <w:tcPr>
            <w:tcW w:w="2832" w:type="pct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                             Between T0 and T1 </w:t>
            </w:r>
          </w:p>
        </w:tc>
        <w:tc>
          <w:tcPr>
            <w:tcW w:w="2168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Between T1 and T2</w:t>
            </w:r>
          </w:p>
        </w:tc>
      </w:tr>
      <w:tr w:rsidR="00297CB3" w:rsidRPr="00147770" w:rsidTr="00446BB6">
        <w:trPr>
          <w:trHeight w:val="300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985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Observed changes</w:t>
            </w:r>
          </w:p>
        </w:tc>
        <w:tc>
          <w:tcPr>
            <w:tcW w:w="1006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 Adjusted changes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955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Observed changes</w:t>
            </w:r>
          </w:p>
        </w:tc>
        <w:tc>
          <w:tcPr>
            <w:tcW w:w="1006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  Adjusted changes</w:t>
            </w:r>
          </w:p>
        </w:tc>
      </w:tr>
      <w:tr w:rsidR="00297CB3" w:rsidRPr="00147770" w:rsidTr="00446BB6">
        <w:trPr>
          <w:trHeight w:val="315"/>
        </w:trPr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QLQ-BR23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98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(post-test - pre-test)</w:t>
            </w:r>
          </w:p>
        </w:tc>
        <w:tc>
          <w:tcPr>
            <w:tcW w:w="100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(post-test - then-test)</w:t>
            </w:r>
          </w:p>
        </w:tc>
        <w:tc>
          <w:tcPr>
            <w:tcW w:w="2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955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(post-test - pre-test)</w:t>
            </w:r>
          </w:p>
        </w:tc>
        <w:tc>
          <w:tcPr>
            <w:tcW w:w="1006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(post-test - then-test)</w:t>
            </w:r>
          </w:p>
        </w:tc>
      </w:tr>
      <w:tr w:rsidR="00297CB3" w:rsidRPr="00147770" w:rsidTr="00446BB6">
        <w:trPr>
          <w:trHeight w:val="240"/>
        </w:trPr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N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Mean (SD)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95% CI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Mean (SD)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95% CI</w:t>
            </w:r>
          </w:p>
        </w:tc>
        <w:tc>
          <w:tcPr>
            <w:tcW w:w="2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N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Mean (SD)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95% CI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Mean (SD)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95% CI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Body image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 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eastAsia="Times New Roman" w:cs="Times New Roman"/>
                <w:color w:val="000000"/>
                <w:sz w:val="16"/>
                <w:szCs w:val="16"/>
                <w:lang w:val="en-GB" w:eastAsia="fr-FR"/>
              </w:rPr>
              <w:t> 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-47.22 (33.18)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(-58, -37)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-40.77 ( 34.65)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(-52, -30)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1.59 (18.18)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(-5, 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-33.73 ( 35.89)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(-47, -20)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70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-20.44 (27.41)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(-26, -15)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-15.40 ( 25.02)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(-20, -10)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0.41 (16.58)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(-4, 4)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-10.76 ( 22.82)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(-16, -5)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-7.32 (15.16)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(-11, -3)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-4.07 ( 15.60)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0)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2.72 (10.1)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-0.91 ( 12.82)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2)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-14.91 (24.41)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(-21, -9)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-4.93 ( 18.31)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-1)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65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1.28 (22.93)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-1.45 ( 20.88)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3)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-10.54 (28.43)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(-18, -3)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-2.53 ( 25.95)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4)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6.87 (20.87)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 xml:space="preserve"> (2, 12)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5.82 ( 21.26)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(1, 11)</w:t>
            </w:r>
          </w:p>
        </w:tc>
      </w:tr>
      <w:tr w:rsidR="00297CB3" w:rsidRPr="00147770" w:rsidTr="00446BB6">
        <w:trPr>
          <w:trHeight w:val="420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Sexual functioning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198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198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12.82 (14.38)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(8, 18)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18.59 ( 19.05)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(12, 25)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7.89 (14.02)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(2, 13)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24.56 ( 27.42)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(14, 35)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6.85 (20.79)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(2, 11)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7.44 ( 21.06)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(3, 12)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-0.44 (12.55)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(-4, 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10.53 ( 17.93)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(6, 15)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3.92 (22.87)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11)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5.88 ( 22.80)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13)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2.03 (16.33)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2.44 ( 16.48)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7)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1.94 (15.94)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( 10.91)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3)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-0.89 (18.1)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( 17.70)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4)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-3.85 (21.45)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(-10, 2)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-4.27 ( 18.62)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1)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-6.82 (14.52)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(-10, -3)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-5.68 (20.63)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(-11, 0)</w:t>
            </w:r>
          </w:p>
        </w:tc>
      </w:tr>
      <w:tr w:rsidR="00297CB3" w:rsidRPr="00147770" w:rsidTr="00446BB6">
        <w:trPr>
          <w:trHeight w:val="420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Sexual enjoyment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74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74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4.17 (51.75)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(-31, 39)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( 43.64)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(-29, 29)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8.33 (16.67)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(-11, 28)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33.33 ( 27.22)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(1, 65)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14.49 (19.66)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(7, 22)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11.59 ( 19.09)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(5, 18)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12.50 (29.5)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(0, 25)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14.58 ( 20.97)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(5, 24)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10.42 (33.82)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25)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4.17 ( 29.50)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17)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1.45 (21.27)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2.90 ( 28.27)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13)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12.12 (22.47)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(0, 24)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9.09 ( 21.56)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21)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-2.08 (22.67)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(-12, 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( 21.08)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(-9, 9)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2.08 (19.12)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10)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-2.08 ( 8.33)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2)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16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-6.67 (22.554)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(-17, 4)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-4.44 ( 24.77)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7)</w:t>
            </w:r>
          </w:p>
        </w:tc>
      </w:tr>
      <w:tr w:rsidR="00297CB3" w:rsidRPr="00147770" w:rsidTr="00446BB6">
        <w:trPr>
          <w:trHeight w:val="420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 xml:space="preserve">Future perspectives 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3.23 (33.73)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(-7, 14)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-3.23 ( 40.69)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(-16, 9)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-3.03 (28.93)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(-14, 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-21.21 ( 40.6)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(-36, -6)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68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7.35 (32.5)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(1, 14)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-8.82 ( 30.81)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(-15, -3)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68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3.47 (30.16)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(-4, 11)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-0.69 ( 24.30)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(-7, 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20.93 (32.55)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(13, 29)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7.75 ( 26.06)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(1, 14)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 (23.57)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4.76 ( 30.43)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12)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10.42 (30.1)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3.47 ( 24.06)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9)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48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1.06 (25.38)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8.47 ( 23.92)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(3, 13)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5.07 (33.68)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13)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12.32 ( 24.70)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(6, 18)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11.73 (32.48)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15.43 ( 26.47)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(9, 21)</w:t>
            </w:r>
          </w:p>
        </w:tc>
      </w:tr>
      <w:tr w:rsidR="00297CB3" w:rsidRPr="00147770" w:rsidTr="00446BB6">
        <w:trPr>
          <w:trHeight w:val="55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Systemic therapy side effects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26.93 (25.54)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(19, 35)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26.54 ( 23.54)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(19, 34)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2.76 (23.65)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(-6, 11)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25.95 ( 26.03)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(17, 35)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72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18.83 (21.51)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(15, 23)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19.79 ( 18.60)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(16, 23)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72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-3.49 (18.26)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(-8, 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10.27 ( 18.90)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(6, 15)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4.41 (15.02)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3.84 ( 14.03)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(0, 7)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0.23 (10.2)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2.45 ( 7.89)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(1, 4)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6.02 (13.64)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6.02 ( 12.35)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(3, 9)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54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-4.19 (15.12)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-1)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3.94 ( 19.39)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(0, 8)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-2.01 (20.41)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-0.49 ( 15.93)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3)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-5.83 (11.78)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(-8, -3)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-3.30 ( 13.01)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(-6, 0)</w:t>
            </w:r>
          </w:p>
        </w:tc>
      </w:tr>
      <w:tr w:rsidR="00297CB3" w:rsidRPr="00147770" w:rsidTr="00446BB6">
        <w:trPr>
          <w:trHeight w:val="360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Breast symptoms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212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212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23.89 (32.72)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(13, 35)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24.44 ( 29.32)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(14, 34)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2.78 (20.33)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(-6, 12)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13.33 ( 20.12)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(4, 22)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14.08 (27.69)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(8, 2)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18.08 ( 22.21)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(13, 23)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-4.31 (16.81)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(-8, 0)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6.44 ( 18.26)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(2, 11)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10.34 (20.43)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(5, 16)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9.72 ( 21.59)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(4, 16)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36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-3.57 (13.35)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0)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3.77 ( 14.28)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(0, 7)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16.61 (21.1)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(12, 21)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7.13 ( 18.87)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(3, 11)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53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-2.21 (20.17)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(-7, 2)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3.63 ( 20.65)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8)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9.55 (24.41)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(3, 16)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3.05 ( 18.04)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8)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-10.71 (21.13)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(-16, -6)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-0.62 ( 16.04)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(-4, 3)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GB" w:eastAsia="fr-FR"/>
              </w:rPr>
              <w:t>Arm symptoms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235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11.88 (19)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(6, 18)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9.39 ( 25.94)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(1, 18)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29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10.49 (21.04)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(2, 19)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16.67 ( 23.57)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(7, 26)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worse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67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7.88 (17.6)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(4, 11)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8.54 ( 19.28)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(5, 12)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67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0.58 (18.27)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(-4, 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10.76 ( 19.53)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(6, 15)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No change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3.39 (13.54)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(0, 7)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4.74 ( 14.14)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(1, 8)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41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1.89 (13.82)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5)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5.89 ( 14.65)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(2, 9)</w:t>
            </w:r>
          </w:p>
        </w:tc>
      </w:tr>
      <w:tr w:rsidR="00297CB3" w:rsidRPr="00147770" w:rsidTr="00446BB6">
        <w:trPr>
          <w:trHeight w:val="225"/>
        </w:trPr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Little better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4.55 (17.51)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(1, 8)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1.41 ( 13.83)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5)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55</w:t>
            </w: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0.69 (13.98)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(-2, 4)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0.69 ( 16.93)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</w:tr>
      <w:tr w:rsidR="00297CB3" w:rsidRPr="00147770" w:rsidTr="00446BB6">
        <w:trPr>
          <w:trHeight w:val="240"/>
        </w:trPr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Much better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10.34 (13.8)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(7, 14)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3.10 ( 17.87)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(-1, 8)</w:t>
            </w:r>
          </w:p>
        </w:tc>
        <w:tc>
          <w:tcPr>
            <w:tcW w:w="2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14777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  <w:t>43</w:t>
            </w:r>
          </w:p>
        </w:tc>
        <w:tc>
          <w:tcPr>
            <w:tcW w:w="5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-1.52 (14.12)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(-5, 2)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0.20 ( 15.78)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CB3" w:rsidRPr="00147770" w:rsidRDefault="00297CB3" w:rsidP="00446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fr-FR" w:eastAsia="fr-FR"/>
              </w:rPr>
            </w:pPr>
            <w:r w:rsidRPr="00DA1EA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GB" w:eastAsia="fr-FR"/>
              </w:rPr>
              <w:t>(-3, 4)</w:t>
            </w:r>
          </w:p>
        </w:tc>
      </w:tr>
    </w:tbl>
    <w:p w:rsidR="00297CB3" w:rsidRPr="00147770" w:rsidRDefault="00297CB3" w:rsidP="00297CB3">
      <w:pPr>
        <w:tabs>
          <w:tab w:val="left" w:pos="3896"/>
        </w:tabs>
        <w:spacing w:after="0" w:line="240" w:lineRule="auto"/>
        <w:rPr>
          <w:rFonts w:ascii="Arial" w:eastAsia="Times New Roman" w:hAnsi="Arial"/>
          <w:lang w:eastAsia="fr-FR"/>
        </w:rPr>
      </w:pPr>
      <w:r w:rsidRPr="00DA1EA2">
        <w:rPr>
          <w:rFonts w:ascii="Arial" w:eastAsia="Times New Roman" w:hAnsi="Arial"/>
          <w:szCs w:val="21"/>
          <w:lang w:val="en-GB" w:eastAsia="fr-FR"/>
        </w:rPr>
        <w:t>Observed changes: Post-test – Pre-test; adjusted changes: Post-test – Then-test</w:t>
      </w:r>
    </w:p>
    <w:p w:rsidR="00297CB3" w:rsidRPr="00147770" w:rsidRDefault="00297CB3" w:rsidP="00297CB3">
      <w:pPr>
        <w:tabs>
          <w:tab w:val="left" w:pos="3896"/>
        </w:tabs>
        <w:rPr>
          <w:rFonts w:ascii="Arial" w:eastAsia="Times New Roman" w:hAnsi="Arial"/>
          <w:sz w:val="32"/>
          <w:szCs w:val="32"/>
          <w:lang w:eastAsia="fr-FR"/>
        </w:rPr>
      </w:pPr>
      <w:r w:rsidRPr="00DA1EA2">
        <w:rPr>
          <w:rFonts w:ascii="Arial" w:eastAsia="Times New Roman" w:hAnsi="Arial"/>
          <w:szCs w:val="21"/>
          <w:lang w:val="en-GB" w:eastAsia="zh-CN"/>
        </w:rPr>
        <w:t>SD: Standard Deviation; CI: Confidence Interval</w:t>
      </w:r>
    </w:p>
    <w:p w:rsidR="00297CB3" w:rsidRDefault="00297CB3" w:rsidP="00297CB3">
      <w:pPr>
        <w:tabs>
          <w:tab w:val="left" w:pos="3896"/>
        </w:tabs>
        <w:jc w:val="both"/>
        <w:rPr>
          <w:rFonts w:ascii="Arial" w:eastAsia="Times New Roman" w:hAnsi="Arial"/>
          <w:sz w:val="24"/>
          <w:szCs w:val="24"/>
          <w:lang w:eastAsia="fr-FR"/>
        </w:rPr>
      </w:pPr>
    </w:p>
    <w:p w:rsidR="00297CB3" w:rsidRPr="00D90974" w:rsidRDefault="00297CB3" w:rsidP="00297CB3">
      <w:pPr>
        <w:tabs>
          <w:tab w:val="left" w:pos="3896"/>
        </w:tabs>
        <w:jc w:val="both"/>
        <w:rPr>
          <w:rFonts w:ascii="Arial" w:eastAsia="Times New Roman" w:hAnsi="Arial"/>
          <w:sz w:val="24"/>
          <w:szCs w:val="24"/>
          <w:lang w:eastAsia="fr-FR"/>
        </w:rPr>
      </w:pPr>
    </w:p>
    <w:p w:rsidR="00AA1D56" w:rsidRDefault="009744BD"/>
    <w:sectPr w:rsidR="00AA1D56" w:rsidSect="00C8750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2C8" w:rsidRDefault="006852C8">
      <w:pPr>
        <w:spacing w:after="0" w:line="240" w:lineRule="auto"/>
      </w:pPr>
      <w:r>
        <w:separator/>
      </w:r>
    </w:p>
  </w:endnote>
  <w:endnote w:type="continuationSeparator" w:id="0">
    <w:p w:rsidR="006852C8" w:rsidRDefault="0068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B6B" w:rsidRDefault="00B6641C">
    <w:pPr>
      <w:pStyle w:val="Footer"/>
      <w:jc w:val="right"/>
    </w:pPr>
    <w:r>
      <w:fldChar w:fldCharType="begin"/>
    </w:r>
    <w:r w:rsidR="00297CB3">
      <w:instrText>PAGE   \* MERGEFORMAT</w:instrText>
    </w:r>
    <w:r>
      <w:fldChar w:fldCharType="separate"/>
    </w:r>
    <w:r w:rsidR="009744BD" w:rsidRPr="009744BD">
      <w:rPr>
        <w:noProof/>
        <w:lang w:val="fr-FR"/>
      </w:rPr>
      <w:t>1</w:t>
    </w:r>
    <w:r>
      <w:fldChar w:fldCharType="end"/>
    </w:r>
  </w:p>
  <w:p w:rsidR="00511B6B" w:rsidRDefault="009744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2C8" w:rsidRDefault="006852C8">
      <w:pPr>
        <w:spacing w:after="0" w:line="240" w:lineRule="auto"/>
      </w:pPr>
      <w:r>
        <w:separator/>
      </w:r>
    </w:p>
  </w:footnote>
  <w:footnote w:type="continuationSeparator" w:id="0">
    <w:p w:rsidR="006852C8" w:rsidRDefault="00685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867"/>
    <w:multiLevelType w:val="hybridMultilevel"/>
    <w:tmpl w:val="AAE494AC"/>
    <w:lvl w:ilvl="0" w:tplc="6E7AA7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93E36"/>
    <w:multiLevelType w:val="hybridMultilevel"/>
    <w:tmpl w:val="EDCEB5B8"/>
    <w:lvl w:ilvl="0" w:tplc="EC60CC8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22D4C"/>
    <w:multiLevelType w:val="hybridMultilevel"/>
    <w:tmpl w:val="9A5AE3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E01A7"/>
    <w:multiLevelType w:val="hybridMultilevel"/>
    <w:tmpl w:val="F9605E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2142"/>
    <w:multiLevelType w:val="hybridMultilevel"/>
    <w:tmpl w:val="1C229B4C"/>
    <w:lvl w:ilvl="0" w:tplc="D4766DC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13B99"/>
    <w:multiLevelType w:val="hybridMultilevel"/>
    <w:tmpl w:val="B20AB8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C4A16"/>
    <w:multiLevelType w:val="hybridMultilevel"/>
    <w:tmpl w:val="7D582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043022"/>
    <w:multiLevelType w:val="hybridMultilevel"/>
    <w:tmpl w:val="48041198"/>
    <w:lvl w:ilvl="0" w:tplc="C868B16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F0C02"/>
    <w:multiLevelType w:val="hybridMultilevel"/>
    <w:tmpl w:val="9B7A0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D4766"/>
    <w:multiLevelType w:val="hybridMultilevel"/>
    <w:tmpl w:val="AE207724"/>
    <w:lvl w:ilvl="0" w:tplc="CCFC846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406A1"/>
    <w:multiLevelType w:val="hybridMultilevel"/>
    <w:tmpl w:val="60BA1CDA"/>
    <w:lvl w:ilvl="0" w:tplc="44C6AC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43FA4"/>
    <w:multiLevelType w:val="hybridMultilevel"/>
    <w:tmpl w:val="49F24DAC"/>
    <w:lvl w:ilvl="0" w:tplc="49408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1E5B07"/>
    <w:multiLevelType w:val="hybridMultilevel"/>
    <w:tmpl w:val="20081AC2"/>
    <w:lvl w:ilvl="0" w:tplc="A5D8C33A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FE17D9"/>
    <w:multiLevelType w:val="hybridMultilevel"/>
    <w:tmpl w:val="CDFCB3F4"/>
    <w:lvl w:ilvl="0" w:tplc="4BEACCA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86093D"/>
    <w:multiLevelType w:val="hybridMultilevel"/>
    <w:tmpl w:val="39B2B18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586EF4"/>
    <w:multiLevelType w:val="hybridMultilevel"/>
    <w:tmpl w:val="D13A5D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E1A5A"/>
    <w:multiLevelType w:val="hybridMultilevel"/>
    <w:tmpl w:val="8D56A3E4"/>
    <w:lvl w:ilvl="0" w:tplc="FC4462F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275BB"/>
    <w:multiLevelType w:val="hybridMultilevel"/>
    <w:tmpl w:val="D4D6BC26"/>
    <w:lvl w:ilvl="0" w:tplc="83560B5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1AB"/>
    <w:multiLevelType w:val="multilevel"/>
    <w:tmpl w:val="07604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8A75A90"/>
    <w:multiLevelType w:val="hybridMultilevel"/>
    <w:tmpl w:val="A9C0E064"/>
    <w:lvl w:ilvl="0" w:tplc="040C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8A08AE"/>
    <w:multiLevelType w:val="hybridMultilevel"/>
    <w:tmpl w:val="9E1869DE"/>
    <w:lvl w:ilvl="0" w:tplc="00785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04760F"/>
    <w:multiLevelType w:val="hybridMultilevel"/>
    <w:tmpl w:val="4440BB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B64313"/>
    <w:multiLevelType w:val="hybridMultilevel"/>
    <w:tmpl w:val="1520E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41B3E"/>
    <w:multiLevelType w:val="hybridMultilevel"/>
    <w:tmpl w:val="7D5821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4"/>
  </w:num>
  <w:num w:numId="5">
    <w:abstractNumId w:val="11"/>
  </w:num>
  <w:num w:numId="6">
    <w:abstractNumId w:val="5"/>
  </w:num>
  <w:num w:numId="7">
    <w:abstractNumId w:val="22"/>
  </w:num>
  <w:num w:numId="8">
    <w:abstractNumId w:val="1"/>
  </w:num>
  <w:num w:numId="9">
    <w:abstractNumId w:val="3"/>
  </w:num>
  <w:num w:numId="10">
    <w:abstractNumId w:val="16"/>
  </w:num>
  <w:num w:numId="11">
    <w:abstractNumId w:val="21"/>
  </w:num>
  <w:num w:numId="12">
    <w:abstractNumId w:val="8"/>
  </w:num>
  <w:num w:numId="13">
    <w:abstractNumId w:val="20"/>
  </w:num>
  <w:num w:numId="14">
    <w:abstractNumId w:val="23"/>
  </w:num>
  <w:num w:numId="15">
    <w:abstractNumId w:val="0"/>
  </w:num>
  <w:num w:numId="16">
    <w:abstractNumId w:val="6"/>
  </w:num>
  <w:num w:numId="17">
    <w:abstractNumId w:val="13"/>
  </w:num>
  <w:num w:numId="18">
    <w:abstractNumId w:val="19"/>
  </w:num>
  <w:num w:numId="19">
    <w:abstractNumId w:val="2"/>
  </w:num>
  <w:num w:numId="20">
    <w:abstractNumId w:val="15"/>
  </w:num>
  <w:num w:numId="21">
    <w:abstractNumId w:val="17"/>
  </w:num>
  <w:num w:numId="22">
    <w:abstractNumId w:val="12"/>
  </w:num>
  <w:num w:numId="23">
    <w:abstractNumId w:val="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494"/>
    <w:rsid w:val="000B1BE3"/>
    <w:rsid w:val="000B59A4"/>
    <w:rsid w:val="000F1494"/>
    <w:rsid w:val="00297CB3"/>
    <w:rsid w:val="006852C8"/>
    <w:rsid w:val="009744BD"/>
    <w:rsid w:val="00B6641C"/>
    <w:rsid w:val="00E44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B3"/>
    <w:rPr>
      <w:rFonts w:ascii="Calibri" w:eastAsia="Calibri" w:hAnsi="Calibri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CB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CB3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CB3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7CB3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apple-converted-space">
    <w:name w:val="apple-converted-space"/>
    <w:basedOn w:val="DefaultParagraphFont"/>
    <w:rsid w:val="00297CB3"/>
  </w:style>
  <w:style w:type="paragraph" w:styleId="Header">
    <w:name w:val="header"/>
    <w:basedOn w:val="Normal"/>
    <w:link w:val="HeaderChar"/>
    <w:uiPriority w:val="99"/>
    <w:unhideWhenUsed/>
    <w:rsid w:val="0029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B3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B3"/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59"/>
    <w:rsid w:val="00297CB3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CB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297CB3"/>
    <w:pPr>
      <w:outlineLvl w:val="9"/>
    </w:pPr>
    <w:rPr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B3"/>
    <w:rPr>
      <w:rFonts w:ascii="Tahoma" w:eastAsia="Calibri" w:hAnsi="Tahoma" w:cs="Tahoma"/>
      <w:sz w:val="16"/>
      <w:szCs w:val="16"/>
      <w:lang w:val="en-US"/>
    </w:rPr>
  </w:style>
  <w:style w:type="paragraph" w:customStyle="1" w:styleId="Default">
    <w:name w:val="Default"/>
    <w:rsid w:val="00297CB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97CB3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297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7C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7CB3"/>
    <w:rPr>
      <w:rFonts w:ascii="Calibri" w:eastAsia="Calibri" w:hAnsi="Calibri" w:cs="Arial"/>
      <w:sz w:val="20"/>
      <w:szCs w:val="20"/>
      <w:lang w:val="en-US"/>
    </w:rPr>
  </w:style>
  <w:style w:type="character" w:customStyle="1" w:styleId="hps">
    <w:name w:val="hps"/>
    <w:basedOn w:val="DefaultParagraphFont"/>
    <w:rsid w:val="00297CB3"/>
  </w:style>
  <w:style w:type="character" w:customStyle="1" w:styleId="shorttext">
    <w:name w:val="short_text"/>
    <w:basedOn w:val="DefaultParagraphFont"/>
    <w:rsid w:val="00297CB3"/>
  </w:style>
  <w:style w:type="character" w:styleId="Hyperlink">
    <w:name w:val="Hyperlink"/>
    <w:uiPriority w:val="99"/>
    <w:unhideWhenUsed/>
    <w:rsid w:val="00297CB3"/>
    <w:rPr>
      <w:color w:val="0000FF"/>
      <w:u w:val="single"/>
    </w:rPr>
  </w:style>
  <w:style w:type="character" w:customStyle="1" w:styleId="highlight">
    <w:name w:val="highlight"/>
    <w:rsid w:val="00297CB3"/>
  </w:style>
  <w:style w:type="character" w:styleId="LineNumber">
    <w:name w:val="line number"/>
    <w:uiPriority w:val="99"/>
    <w:semiHidden/>
    <w:unhideWhenUsed/>
    <w:rsid w:val="00297CB3"/>
  </w:style>
  <w:style w:type="paragraph" w:styleId="Bibliography">
    <w:name w:val="Bibliography"/>
    <w:basedOn w:val="Normal"/>
    <w:next w:val="Normal"/>
    <w:uiPriority w:val="37"/>
    <w:unhideWhenUsed/>
    <w:rsid w:val="00297CB3"/>
    <w:pPr>
      <w:spacing w:after="240" w:line="240" w:lineRule="auto"/>
    </w:pPr>
  </w:style>
  <w:style w:type="character" w:styleId="FollowedHyperlink">
    <w:name w:val="FollowedHyperlink"/>
    <w:uiPriority w:val="99"/>
    <w:semiHidden/>
    <w:unhideWhenUsed/>
    <w:rsid w:val="00297CB3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CB3"/>
    <w:pPr>
      <w:spacing w:line="276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CB3"/>
    <w:rPr>
      <w:rFonts w:ascii="Calibri" w:eastAsia="Calibri" w:hAnsi="Calibri" w:cs="Arial"/>
      <w:b/>
      <w:bCs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297CB3"/>
    <w:pPr>
      <w:spacing w:after="0" w:line="240" w:lineRule="auto"/>
    </w:pPr>
    <w:rPr>
      <w:rFonts w:eastAsia="SimSun"/>
      <w:szCs w:val="21"/>
      <w:lang w:val="en-GB"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297CB3"/>
    <w:rPr>
      <w:rFonts w:ascii="Calibri" w:eastAsia="SimSun" w:hAnsi="Calibri" w:cs="Arial"/>
      <w:szCs w:val="21"/>
      <w:lang w:val="en-GB" w:eastAsia="zh-CN"/>
    </w:rPr>
  </w:style>
  <w:style w:type="paragraph" w:styleId="NoSpacing">
    <w:name w:val="No Spacing"/>
    <w:uiPriority w:val="1"/>
    <w:qFormat/>
    <w:rsid w:val="00297CB3"/>
    <w:pPr>
      <w:spacing w:after="0" w:line="240" w:lineRule="auto"/>
    </w:pPr>
    <w:rPr>
      <w:rFonts w:ascii="Calibri" w:eastAsia="Calibri" w:hAnsi="Calibri" w:cs="Arial"/>
      <w:lang w:val="en-US"/>
    </w:rPr>
  </w:style>
  <w:style w:type="character" w:styleId="Strong">
    <w:name w:val="Strong"/>
    <w:uiPriority w:val="22"/>
    <w:qFormat/>
    <w:rsid w:val="00297CB3"/>
    <w:rPr>
      <w:b/>
      <w:bCs/>
    </w:rPr>
  </w:style>
  <w:style w:type="paragraph" w:customStyle="1" w:styleId="Standard">
    <w:name w:val="Standard"/>
    <w:rsid w:val="00297C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CB3"/>
    <w:rPr>
      <w:rFonts w:ascii="Calibri" w:eastAsia="Calibri" w:hAnsi="Calibri" w:cs="Arial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97CB3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7CB3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7CB3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97CB3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apple-converted-space">
    <w:name w:val="apple-converted-space"/>
    <w:basedOn w:val="Policepardfaut"/>
    <w:rsid w:val="00297CB3"/>
  </w:style>
  <w:style w:type="paragraph" w:styleId="En-tte">
    <w:name w:val="header"/>
    <w:basedOn w:val="Normal"/>
    <w:link w:val="En-tteCar"/>
    <w:uiPriority w:val="99"/>
    <w:unhideWhenUsed/>
    <w:rsid w:val="0029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7CB3"/>
    <w:rPr>
      <w:rFonts w:ascii="Calibri" w:eastAsia="Calibri" w:hAnsi="Calibri" w:cs="Aria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9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7CB3"/>
    <w:rPr>
      <w:rFonts w:ascii="Calibri" w:eastAsia="Calibri" w:hAnsi="Calibri" w:cs="Arial"/>
      <w:lang w:val="en-US"/>
    </w:rPr>
  </w:style>
  <w:style w:type="table" w:styleId="Grilledutableau">
    <w:name w:val="Table Grid"/>
    <w:basedOn w:val="TableauNormal"/>
    <w:uiPriority w:val="59"/>
    <w:rsid w:val="00297CB3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97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97CB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97CB3"/>
    <w:pPr>
      <w:outlineLvl w:val="9"/>
    </w:pPr>
    <w:rPr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7CB3"/>
    <w:rPr>
      <w:rFonts w:ascii="Tahoma" w:eastAsia="Calibri" w:hAnsi="Tahoma" w:cs="Tahoma"/>
      <w:sz w:val="16"/>
      <w:szCs w:val="16"/>
      <w:lang w:val="en-US"/>
    </w:rPr>
  </w:style>
  <w:style w:type="paragraph" w:customStyle="1" w:styleId="Default">
    <w:name w:val="Default"/>
    <w:rsid w:val="00297CB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297CB3"/>
    <w:pPr>
      <w:ind w:left="720"/>
      <w:contextualSpacing/>
    </w:pPr>
  </w:style>
  <w:style w:type="character" w:styleId="Marquedecommentaire">
    <w:name w:val="annotation reference"/>
    <w:uiPriority w:val="99"/>
    <w:semiHidden/>
    <w:unhideWhenUsed/>
    <w:rsid w:val="00297CB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297CB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297CB3"/>
    <w:rPr>
      <w:rFonts w:ascii="Calibri" w:eastAsia="Calibri" w:hAnsi="Calibri" w:cs="Arial"/>
      <w:sz w:val="20"/>
      <w:szCs w:val="20"/>
      <w:lang w:val="en-US"/>
    </w:rPr>
  </w:style>
  <w:style w:type="character" w:customStyle="1" w:styleId="hps">
    <w:name w:val="hps"/>
    <w:basedOn w:val="Policepardfaut"/>
    <w:rsid w:val="00297CB3"/>
  </w:style>
  <w:style w:type="character" w:customStyle="1" w:styleId="shorttext">
    <w:name w:val="short_text"/>
    <w:basedOn w:val="Policepardfaut"/>
    <w:rsid w:val="00297CB3"/>
  </w:style>
  <w:style w:type="character" w:styleId="Lienhypertexte">
    <w:name w:val="Hyperlink"/>
    <w:uiPriority w:val="99"/>
    <w:unhideWhenUsed/>
    <w:rsid w:val="00297CB3"/>
    <w:rPr>
      <w:color w:val="0000FF"/>
      <w:u w:val="single"/>
    </w:rPr>
  </w:style>
  <w:style w:type="character" w:customStyle="1" w:styleId="highlight">
    <w:name w:val="highlight"/>
    <w:rsid w:val="00297CB3"/>
  </w:style>
  <w:style w:type="character" w:styleId="Numrodeligne">
    <w:name w:val="line number"/>
    <w:uiPriority w:val="99"/>
    <w:semiHidden/>
    <w:unhideWhenUsed/>
    <w:rsid w:val="00297CB3"/>
  </w:style>
  <w:style w:type="paragraph" w:styleId="Bibliographie">
    <w:name w:val="Bibliography"/>
    <w:basedOn w:val="Normal"/>
    <w:next w:val="Normal"/>
    <w:uiPriority w:val="37"/>
    <w:unhideWhenUsed/>
    <w:rsid w:val="00297CB3"/>
    <w:pPr>
      <w:spacing w:after="240" w:line="240" w:lineRule="auto"/>
    </w:pPr>
  </w:style>
  <w:style w:type="character" w:styleId="Lienhypertextesuivivisit">
    <w:name w:val="FollowedHyperlink"/>
    <w:uiPriority w:val="99"/>
    <w:semiHidden/>
    <w:unhideWhenUsed/>
    <w:rsid w:val="00297CB3"/>
    <w:rPr>
      <w:color w:val="800080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97CB3"/>
    <w:pPr>
      <w:spacing w:line="276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97CB3"/>
    <w:rPr>
      <w:rFonts w:ascii="Calibri" w:eastAsia="Calibri" w:hAnsi="Calibri" w:cs="Arial"/>
      <w:b/>
      <w:bCs/>
      <w:sz w:val="20"/>
      <w:szCs w:val="20"/>
      <w:lang w:val="en-US"/>
    </w:rPr>
  </w:style>
  <w:style w:type="paragraph" w:styleId="Textebrut">
    <w:name w:val="Plain Text"/>
    <w:basedOn w:val="Normal"/>
    <w:link w:val="TextebrutCar"/>
    <w:uiPriority w:val="99"/>
    <w:unhideWhenUsed/>
    <w:rsid w:val="00297CB3"/>
    <w:pPr>
      <w:spacing w:after="0" w:line="240" w:lineRule="auto"/>
    </w:pPr>
    <w:rPr>
      <w:rFonts w:eastAsia="SimSun"/>
      <w:szCs w:val="21"/>
      <w:lang w:val="en-GB" w:eastAsia="zh-CN"/>
    </w:rPr>
  </w:style>
  <w:style w:type="character" w:customStyle="1" w:styleId="TextebrutCar">
    <w:name w:val="Texte brut Car"/>
    <w:basedOn w:val="Policepardfaut"/>
    <w:link w:val="Textebrut"/>
    <w:uiPriority w:val="99"/>
    <w:rsid w:val="00297CB3"/>
    <w:rPr>
      <w:rFonts w:ascii="Calibri" w:eastAsia="SimSun" w:hAnsi="Calibri" w:cs="Arial"/>
      <w:szCs w:val="21"/>
      <w:lang w:val="en-GB" w:eastAsia="zh-CN"/>
    </w:rPr>
  </w:style>
  <w:style w:type="paragraph" w:styleId="Sansinterligne">
    <w:name w:val="No Spacing"/>
    <w:uiPriority w:val="1"/>
    <w:qFormat/>
    <w:rsid w:val="00297CB3"/>
    <w:pPr>
      <w:spacing w:after="0" w:line="240" w:lineRule="auto"/>
    </w:pPr>
    <w:rPr>
      <w:rFonts w:ascii="Calibri" w:eastAsia="Calibri" w:hAnsi="Calibri" w:cs="Arial"/>
      <w:lang w:val="en-US"/>
    </w:rPr>
  </w:style>
  <w:style w:type="character" w:styleId="lev">
    <w:name w:val="Strong"/>
    <w:uiPriority w:val="22"/>
    <w:qFormat/>
    <w:rsid w:val="00297CB3"/>
    <w:rPr>
      <w:b/>
      <w:bCs/>
    </w:rPr>
  </w:style>
  <w:style w:type="paragraph" w:customStyle="1" w:styleId="Standard">
    <w:name w:val="Standard"/>
    <w:rsid w:val="00297C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3814</Words>
  <Characters>21741</Characters>
  <Application>Microsoft Office Word</Application>
  <DocSecurity>0</DocSecurity>
  <Lines>181</Lines>
  <Paragraphs>51</Paragraphs>
  <ScaleCrop>false</ScaleCrop>
  <Company>CHRU de BESANCON</Company>
  <LinksUpToDate>false</LinksUpToDate>
  <CharactersWithSpaces>25504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aousmen (B09173)</dc:creator>
  <cp:keywords/>
  <dc:description/>
  <cp:lastModifiedBy>LOMANDAM</cp:lastModifiedBy>
  <cp:revision>4</cp:revision>
  <dcterms:created xsi:type="dcterms:W3CDTF">2016-10-26T15:15:00Z</dcterms:created>
  <dcterms:modified xsi:type="dcterms:W3CDTF">2016-11-29T08:54:00Z</dcterms:modified>
</cp:coreProperties>
</file>