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E81ED4" w14:textId="55CE84F1" w:rsidR="002E429C"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6ECEE77E" w14:textId="1293B3BA" w:rsidR="009C6394" w:rsidRDefault="009C6394" w:rsidP="00955078">
      <w:pPr>
        <w:pStyle w:val="ListParagraph"/>
        <w:spacing w:line="360" w:lineRule="auto"/>
        <w:rPr>
          <w:rStyle w:val="CommentReference"/>
          <w:rFonts w:cstheme="minorHAnsi"/>
          <w:b/>
          <w:color w:val="000000" w:themeColor="text1"/>
          <w:sz w:val="24"/>
          <w:szCs w:val="24"/>
        </w:rPr>
      </w:pPr>
    </w:p>
    <w:p w14:paraId="4762B03A" w14:textId="4997D4DD" w:rsidR="009C6394" w:rsidRDefault="009C6394"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 xml:space="preserve">EXPLICITLY TALK ABOUT MCELRITH PAPER </w:t>
      </w:r>
      <w:bookmarkStart w:id="2" w:name="_GoBack"/>
      <w:bookmarkEnd w:id="2"/>
    </w:p>
    <w:p w14:paraId="5B809EB8" w14:textId="77777777" w:rsidR="009C6394" w:rsidRPr="004422F7" w:rsidRDefault="009C6394" w:rsidP="00955078">
      <w:pPr>
        <w:pStyle w:val="ListParagraph"/>
        <w:spacing w:line="360" w:lineRule="auto"/>
        <w:rPr>
          <w:rStyle w:val="CommentReference"/>
          <w:rFonts w:cstheme="minorHAnsi"/>
          <w:b/>
          <w:color w:val="000000" w:themeColor="text1"/>
          <w:sz w:val="24"/>
          <w:szCs w:val="24"/>
        </w:rPr>
      </w:pP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3"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3"/>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lastRenderedPageBreak/>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 xml:space="preserve">Analyses were also </w:t>
            </w:r>
            <w:r w:rsidR="00BA68C3">
              <w:rPr>
                <w:rFonts w:asciiTheme="minorHAnsi" w:hAnsiTheme="minorHAnsi" w:cstheme="minorHAnsi"/>
                <w:sz w:val="24"/>
                <w:szCs w:val="24"/>
              </w:rPr>
              <w:lastRenderedPageBreak/>
              <w:t>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3619EC5C"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4"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4"/>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lastRenderedPageBreak/>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in order to 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3A3FFB" w:rsidRDefault="003A3FFB"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3A3FFB" w:rsidRDefault="003A3FFB"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3A3FFB" w:rsidRDefault="003A3FFB"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3A3FFB" w:rsidRDefault="003A3FFB"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3A3FFB" w:rsidRDefault="003A3FFB"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3A3FFB" w:rsidRDefault="003A3FFB"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3A3FFB" w:rsidRDefault="003A3FFB"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3A3FFB" w:rsidRPr="00A22410" w:rsidRDefault="003A3FFB"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3A3FFB" w:rsidRDefault="003A3FFB"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3A3FFB" w:rsidRDefault="003A3FFB"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3A3FFB" w:rsidRDefault="003A3FFB"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3A3FFB" w:rsidRDefault="003A3FFB"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3A3FFB" w:rsidRDefault="003A3FFB"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3A3FFB" w:rsidRDefault="003A3FFB"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3A3FFB" w:rsidRDefault="003A3FFB"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3A3FFB" w:rsidRPr="0063245F" w:rsidRDefault="003A3FFB"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5"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6"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5"/>
    <w:bookmarkEnd w:id="6"/>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1D47F220"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Wan et </w:t>
      </w:r>
      <w:proofErr w:type="spellStart"/>
      <w:proofErr w:type="gramStart"/>
      <w:r w:rsidR="007A25F4">
        <w:rPr>
          <w:rFonts w:cstheme="minorHAnsi"/>
        </w:rPr>
        <w:t>al’s</w:t>
      </w:r>
      <w:proofErr w:type="spellEnd"/>
      <w:r w:rsidR="007A25F4">
        <w:rPr>
          <w:rFonts w:cstheme="minorHAnsi"/>
        </w:rPr>
        <w:t xml:space="preserve"> </w:t>
      </w:r>
      <w:r w:rsidRPr="004422F7">
        <w:rPr>
          <w:rFonts w:cstheme="minorHAnsi"/>
        </w:rPr>
        <w:t xml:space="preserve"> </w:t>
      </w:r>
      <w:r w:rsidR="00721674" w:rsidRPr="004422F7">
        <w:rPr>
          <w:rFonts w:cstheme="minorHAnsi"/>
        </w:rPr>
        <w:t>All</w:t>
      </w:r>
      <w:proofErr w:type="gramEnd"/>
      <w:r w:rsidR="00721674" w:rsidRPr="004422F7">
        <w:rPr>
          <w:rFonts w:cstheme="minorHAnsi"/>
        </w:rPr>
        <w:t xml:space="preserve">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442CB9A9" w14:textId="60E1CB31" w:rsidR="003A3FFB" w:rsidRPr="00B9730A" w:rsidRDefault="003A3FFB" w:rsidP="00B9730A">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HE</w:t>
      </w:r>
      <w:r w:rsidR="00C128E8">
        <w:rPr>
          <w:rStyle w:val="CommentReference"/>
          <w:color w:val="000000" w:themeColor="text1"/>
          <w:sz w:val="24"/>
          <w:szCs w:val="24"/>
          <w:lang w:val="en-AU"/>
        </w:rPr>
        <w:t>TROGENEITY IN FIELDS</w:t>
      </w:r>
    </w:p>
    <w:p w14:paraId="6D960C4C" w14:textId="1B7070A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below Cohen’s ‘medium’ effect size in psychology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research paper should fail to find significant results in almost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 xml:space="preserve">. </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2ED322F"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all of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I am not optimistic that anything will change in the near future</w:t>
      </w:r>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although establishing minimum benchmarks for standards of evidence 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7122117E"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repeated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12407D63" w:rsidR="0051040E" w:rsidRDefault="0051040E" w:rsidP="0051040E">
      <w:pPr>
        <w:rPr>
          <w:rFonts w:cstheme="minorHAnsi"/>
        </w:rPr>
      </w:pPr>
    </w:p>
    <w:sectPr w:rsidR="0051040E"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0FEC9" w14:textId="77777777" w:rsidR="00B60B60" w:rsidRDefault="00B60B60" w:rsidP="0039231C">
      <w:r>
        <w:separator/>
      </w:r>
    </w:p>
  </w:endnote>
  <w:endnote w:type="continuationSeparator" w:id="0">
    <w:p w14:paraId="74F7ED14" w14:textId="77777777" w:rsidR="00B60B60" w:rsidRDefault="00B60B60"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0E2E5" w14:textId="77777777" w:rsidR="00B60B60" w:rsidRDefault="00B60B60" w:rsidP="0039231C">
      <w:r>
        <w:separator/>
      </w:r>
    </w:p>
  </w:footnote>
  <w:footnote w:type="continuationSeparator" w:id="0">
    <w:p w14:paraId="60EB4C69" w14:textId="77777777" w:rsidR="00B60B60" w:rsidRDefault="00B60B60" w:rsidP="0039231C">
      <w:r>
        <w:continuationSeparator/>
      </w:r>
    </w:p>
  </w:footnote>
  <w:footnote w:id="1">
    <w:p w14:paraId="2CB03ED7" w14:textId="6F1992BA" w:rsidR="003A3FFB" w:rsidRPr="004823E8" w:rsidRDefault="003A3FFB">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347"/>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0FBC"/>
    <w:rsid w:val="007A25F4"/>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0B60"/>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68BF-B511-4807-9FDB-38DBC93E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26197</TotalTime>
  <Pages>40</Pages>
  <Words>14795</Words>
  <Characters>84334</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332</cp:revision>
  <dcterms:created xsi:type="dcterms:W3CDTF">2018-03-09T03:58:00Z</dcterms:created>
  <dcterms:modified xsi:type="dcterms:W3CDTF">2018-09-23T13:04:00Z</dcterms:modified>
</cp:coreProperties>
</file>