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61D8D0E9" w:rsidR="008C0A1F" w:rsidRPr="0041427C" w:rsidRDefault="00FC6F35" w:rsidP="00955078">
      <w:pPr>
        <w:spacing w:line="360" w:lineRule="auto"/>
        <w:rPr>
          <w:rStyle w:val="CommentReference"/>
          <w:rFonts w:cstheme="minorHAnsi"/>
          <w:sz w:val="24"/>
          <w:szCs w:val="24"/>
        </w:rPr>
      </w:pPr>
      <w:bookmarkStart w:id="0" w:name="_Hlk514248579"/>
      <w:bookmarkStart w:id="1" w:name="_Hlk520654073"/>
      <w:bookmarkEnd w:id="0"/>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psycholog</w:t>
      </w:r>
      <w:r w:rsidR="003F071C" w:rsidRPr="004422F7">
        <w:rPr>
          <w:rFonts w:cstheme="minorHAnsi"/>
        </w:rPr>
        <w:t xml:space="preserve">ical </w:t>
      </w:r>
      <w:r w:rsidR="00EE6FBA" w:rsidRPr="004422F7">
        <w:rPr>
          <w:rFonts w:cstheme="minorHAnsi"/>
        </w:rPr>
        <w:t>research</w:t>
      </w:r>
      <w:r w:rsidR="00DB6DB9" w:rsidRPr="004422F7">
        <w:rPr>
          <w:rFonts w:cstheme="minorHAnsi"/>
        </w:rPr>
        <w:t xml:space="preserve"> literatures</w:t>
      </w:r>
    </w:p>
    <w:p w14:paraId="65E81ED4" w14:textId="55CE84F1" w:rsidR="002E429C" w:rsidRDefault="008C46FF" w:rsidP="00955078">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6ECEE77E" w14:textId="1293B3BA" w:rsidR="009C6394" w:rsidRDefault="009C6394" w:rsidP="00955078">
      <w:pPr>
        <w:pStyle w:val="ListParagraph"/>
        <w:spacing w:line="360" w:lineRule="auto"/>
        <w:rPr>
          <w:rStyle w:val="CommentReference"/>
          <w:rFonts w:cstheme="minorHAnsi"/>
          <w:b/>
          <w:color w:val="000000" w:themeColor="text1"/>
          <w:sz w:val="24"/>
          <w:szCs w:val="24"/>
        </w:rPr>
      </w:pPr>
    </w:p>
    <w:p w14:paraId="4762B03A" w14:textId="4997D4DD" w:rsidR="009C6394" w:rsidRDefault="009C6394" w:rsidP="00955078">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 xml:space="preserve">EXPLICITLY TALK ABOUT MCELRITH PAPER </w:t>
      </w:r>
    </w:p>
    <w:p w14:paraId="5B809EB8" w14:textId="77777777" w:rsidR="009C6394" w:rsidRPr="004422F7" w:rsidRDefault="009C6394" w:rsidP="00955078">
      <w:pPr>
        <w:pStyle w:val="ListParagraph"/>
        <w:spacing w:line="360" w:lineRule="auto"/>
        <w:rPr>
          <w:rStyle w:val="CommentReference"/>
          <w:rFonts w:cstheme="minorHAnsi"/>
          <w:b/>
          <w:color w:val="000000" w:themeColor="text1"/>
          <w:sz w:val="24"/>
          <w:szCs w:val="24"/>
        </w:rPr>
      </w:pPr>
    </w:p>
    <w:p w14:paraId="39915F71" w14:textId="06C5019E" w:rsidR="00DE4153" w:rsidRDefault="003C20BE" w:rsidP="00DE4153">
      <w:pPr>
        <w:spacing w:line="360" w:lineRule="auto"/>
        <w:ind w:firstLine="720"/>
        <w:rPr>
          <w:lang w:val="en-AU"/>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rejecting the null hypothesis 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BB20C7">
        <w:rPr>
          <w:rStyle w:val="CommentReference"/>
          <w:rFonts w:cstheme="minorHAnsi"/>
          <w:sz w:val="24"/>
          <w:szCs w:val="24"/>
        </w:rPr>
        <w:t>. This means that 5</w:t>
      </w:r>
      <w:r w:rsidR="00CD6C82">
        <w:rPr>
          <w:rStyle w:val="CommentReference"/>
          <w:rFonts w:cstheme="minorHAnsi"/>
          <w:sz w:val="24"/>
          <w:szCs w:val="24"/>
        </w:rPr>
        <w:t>2</w:t>
      </w:r>
      <w:r w:rsidR="00BB20C7">
        <w:rPr>
          <w:rStyle w:val="CommentReference"/>
          <w:rFonts w:cstheme="minorHAnsi"/>
          <w:sz w:val="24"/>
          <w:szCs w:val="24"/>
        </w:rPr>
        <w:t>% of the article published in the journal should have failed to reach statistical significance due to sampling variability alone if they were studying a ‘medium’ effect. Cohen used this fact to begin to argue for reform in the way that psychology research is performed and reported.</w:t>
      </w:r>
      <w:r w:rsidR="00647812">
        <w:rPr>
          <w:rStyle w:val="CommentReference"/>
          <w:rFonts w:cstheme="minorHAnsi"/>
          <w:sz w:val="24"/>
          <w:szCs w:val="24"/>
        </w:rPr>
        <w:t xml:space="preserve"> Early p</w:t>
      </w:r>
      <w:r w:rsidR="00DE4153">
        <w:rPr>
          <w:rStyle w:val="CommentReference"/>
          <w:rFonts w:cstheme="minorHAnsi"/>
          <w:sz w:val="24"/>
          <w:szCs w:val="24"/>
        </w:rPr>
        <w:t xml:space="preserve">ower analysis advocates such as Cohen initially focused their criticism on the degree to which underpowered research would waste research funds and 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However in recent years underpowered research has been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r w:rsidR="00647812">
        <w:rPr>
          <w:rStyle w:val="CommentReference"/>
          <w:rFonts w:cstheme="minorHAnsi"/>
          <w:sz w:val="24"/>
          <w:szCs w:val="24"/>
        </w:rPr>
        <w:t>, as i</w:t>
      </w:r>
      <w:r w:rsidR="00DE4153">
        <w:rPr>
          <w:rStyle w:val="CommentReference"/>
          <w:rFonts w:cstheme="minorHAnsi"/>
          <w:sz w:val="24"/>
          <w:szCs w:val="24"/>
        </w:rPr>
        <w:t>n the presence of publication and reporting biases</w:t>
      </w:r>
      <w:r w:rsidR="00DE4153" w:rsidRPr="00DE4153">
        <w:rPr>
          <w:rStyle w:val="CommentReference"/>
          <w:rFonts w:cstheme="minorHAnsi"/>
          <w:b/>
          <w:sz w:val="24"/>
          <w:szCs w:val="24"/>
        </w:rPr>
        <w:t xml:space="preserve"> </w:t>
      </w:r>
      <w:r w:rsidR="00DE4153">
        <w:rPr>
          <w:rStyle w:val="CommentReference"/>
          <w:rFonts w:cstheme="minorHAnsi"/>
          <w:sz w:val="24"/>
          <w:szCs w:val="24"/>
        </w:rPr>
        <w:t>several negative consequences result i</w:t>
      </w:r>
      <w:r w:rsidR="00DE4153" w:rsidRPr="00DE4153">
        <w:rPr>
          <w:rStyle w:val="CommentReference"/>
          <w:rFonts w:cstheme="minorHAnsi"/>
          <w:sz w:val="24"/>
          <w:szCs w:val="24"/>
        </w:rPr>
        <w:t>f</w:t>
      </w:r>
      <w:r w:rsidR="00DE4153">
        <w:rPr>
          <w:rStyle w:val="CommentReference"/>
          <w:rFonts w:cstheme="minorHAnsi"/>
          <w:sz w:val="24"/>
          <w:szCs w:val="24"/>
        </w:rPr>
        <w:t xml:space="preserve"> studies are routinely underpowered to reliably detect true effect sizes. Under publication bias,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2"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2"/>
    </w:p>
    <w:p w14:paraId="1DC1E4F8" w14:textId="19073258" w:rsidR="00677CAC" w:rsidRPr="004422F7" w:rsidRDefault="00DE4153" w:rsidP="00DE415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 xml:space="preserve">An important question is whether these efforts have caused any change in the statistical power of psychology research. </w:t>
      </w:r>
      <w:r w:rsidR="00A26B58" w:rsidRPr="004422F7">
        <w:rPr>
          <w:rStyle w:val="CommentReference"/>
          <w:rFonts w:cstheme="minorHAnsi"/>
          <w:sz w:val="24"/>
          <w:szCs w:val="24"/>
        </w:rPr>
        <w:t>The current study examines the large body</w:t>
      </w:r>
      <w:r w:rsidR="00FC6F35" w:rsidRPr="004422F7">
        <w:rPr>
          <w:rStyle w:val="CommentReference"/>
          <w:rFonts w:cstheme="minorHAnsi"/>
          <w:sz w:val="24"/>
          <w:szCs w:val="24"/>
        </w:rPr>
        <w:t xml:space="preserve"> of literature </w:t>
      </w:r>
      <w:r w:rsidR="00A526C1">
        <w:rPr>
          <w:rStyle w:val="CommentReference"/>
          <w:rFonts w:cstheme="minorHAnsi"/>
          <w:sz w:val="24"/>
          <w:szCs w:val="24"/>
        </w:rPr>
        <w:t xml:space="preserve">published since Cohen’s initial power survey which </w:t>
      </w:r>
      <w:r w:rsidR="00FC6F35" w:rsidRPr="004422F7">
        <w:rPr>
          <w:rStyle w:val="CommentReference"/>
          <w:rFonts w:cstheme="minorHAnsi"/>
          <w:sz w:val="24"/>
          <w:szCs w:val="24"/>
        </w:rPr>
        <w:t>examin</w:t>
      </w:r>
      <w:r w:rsidR="00A526C1">
        <w:rPr>
          <w:rStyle w:val="CommentReference"/>
          <w:rFonts w:cstheme="minorHAnsi"/>
          <w:sz w:val="24"/>
          <w:szCs w:val="24"/>
        </w:rPr>
        <w:t xml:space="preserve">es </w:t>
      </w:r>
      <w:r w:rsidR="00FC6F35" w:rsidRPr="004422F7">
        <w:rPr>
          <w:rStyle w:val="CommentReference"/>
          <w:rFonts w:cstheme="minorHAnsi"/>
          <w:sz w:val="24"/>
          <w:szCs w:val="24"/>
        </w:rPr>
        <w:t xml:space="preserve">statistical power in </w:t>
      </w:r>
      <w:r w:rsidR="00A526C1">
        <w:rPr>
          <w:rStyle w:val="CommentReference"/>
          <w:rFonts w:cstheme="minorHAnsi"/>
          <w:sz w:val="24"/>
          <w:szCs w:val="24"/>
        </w:rPr>
        <w:t xml:space="preserve">various areas of </w:t>
      </w:r>
      <w:r w:rsidR="00FC6F35" w:rsidRPr="004422F7">
        <w:rPr>
          <w:rStyle w:val="CommentReference"/>
          <w:rFonts w:cstheme="minorHAnsi"/>
          <w:sz w:val="24"/>
          <w:szCs w:val="24"/>
        </w:rPr>
        <w:t xml:space="preserve">psychological </w:t>
      </w:r>
      <w:r w:rsidR="00A26B58" w:rsidRPr="004422F7">
        <w:rPr>
          <w:rStyle w:val="CommentReference"/>
          <w:rFonts w:cstheme="minorHAnsi"/>
          <w:sz w:val="24"/>
          <w:szCs w:val="24"/>
        </w:rPr>
        <w:t>research</w:t>
      </w:r>
      <w:r w:rsidR="00A526C1">
        <w:rPr>
          <w:rStyle w:val="CommentReference"/>
          <w:rFonts w:cstheme="minorHAnsi"/>
          <w:sz w:val="24"/>
          <w:szCs w:val="24"/>
        </w:rPr>
        <w:t xml:space="preserve"> in order to (a) estimate the average power of psychology research, and (b) how statistical power has changed over the last half century. </w:t>
      </w:r>
    </w:p>
    <w:p w14:paraId="5F7E763F" w14:textId="2B5EB15B" w:rsidR="00DE4153" w:rsidRPr="00EC2D93"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lastRenderedPageBreak/>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question is w</w:t>
      </w:r>
      <w:r w:rsidRPr="004422F7">
        <w:rPr>
          <w:rStyle w:val="CommentReference"/>
          <w:rFonts w:cstheme="minorHAnsi"/>
          <w:sz w:val="24"/>
          <w:szCs w:val="24"/>
        </w:rPr>
        <w:t xml:space="preserve">hether </w:t>
      </w:r>
      <w:r w:rsidR="00DE4153">
        <w:rPr>
          <w:rStyle w:val="CommentReference"/>
          <w:rFonts w:cstheme="minorHAnsi"/>
          <w:sz w:val="24"/>
          <w:szCs w:val="24"/>
        </w:rPr>
        <w:t xml:space="preserve">power analysis performance rates have increased over time. </w:t>
      </w:r>
      <w:r w:rsidR="00647812">
        <w:rPr>
          <w:rStyle w:val="CommentReference"/>
          <w:rFonts w:cstheme="minorHAnsi"/>
          <w:sz w:val="24"/>
          <w:szCs w:val="24"/>
        </w:rPr>
        <w:t>Given that The</w:t>
      </w:r>
      <w:r w:rsidR="00DE4153" w:rsidRPr="004422F7">
        <w:rPr>
          <w:rStyle w:val="CommentReference"/>
          <w:rFonts w:cstheme="minorHAnsi"/>
          <w:sz w:val="24"/>
          <w:szCs w:val="24"/>
        </w:rPr>
        <w:t xml:space="preserve"> American Psychological 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r w:rsidR="00F33268">
        <w:rPr>
          <w:rStyle w:val="CommentReference"/>
          <w:rFonts w:cstheme="minorHAnsi"/>
          <w:sz w:val="24"/>
          <w:szCs w:val="24"/>
        </w:rPr>
        <w:t xml:space="preserve">In order to </w:t>
      </w:r>
      <w:r w:rsidR="000868DF">
        <w:rPr>
          <w:rStyle w:val="CommentReference"/>
          <w:rFonts w:cstheme="minorHAnsi"/>
          <w:sz w:val="24"/>
          <w:szCs w:val="24"/>
        </w:rPr>
        <w:t>estimate</w:t>
      </w:r>
      <w:r w:rsidR="00F33268">
        <w:rPr>
          <w:rStyle w:val="CommentReference"/>
          <w:rFonts w:cstheme="minorHAnsi"/>
          <w:sz w:val="24"/>
          <w:szCs w:val="24"/>
        </w:rPr>
        <w:t xml:space="preserve"> the proportion of studies which report having performed a power analysis, 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empirical research p</w:t>
      </w:r>
      <w:r w:rsidRPr="004422F7">
        <w:rPr>
          <w:rStyle w:val="CommentReference"/>
          <w:rFonts w:cstheme="minorHAnsi"/>
          <w:sz w:val="24"/>
          <w:szCs w:val="24"/>
        </w:rPr>
        <w:t>apers report having performed a power analysis during research planning</w:t>
      </w:r>
      <w:r w:rsidR="00FD78E9" w:rsidRPr="004422F7">
        <w:rPr>
          <w:rStyle w:val="CommentReference"/>
          <w:rFonts w:cstheme="minorHAnsi"/>
          <w:sz w:val="24"/>
          <w:szCs w:val="24"/>
        </w:rPr>
        <w:t>. This allows for an assessment of</w:t>
      </w:r>
      <w:r w:rsidRPr="004422F7">
        <w:rPr>
          <w:rStyle w:val="CommentReference"/>
          <w:rFonts w:cstheme="minorHAnsi"/>
          <w:sz w:val="24"/>
          <w:szCs w:val="24"/>
        </w:rPr>
        <w:t xml:space="preserve"> (</w:t>
      </w:r>
      <w:r w:rsidR="00AE16C5">
        <w:rPr>
          <w:rStyle w:val="CommentReference"/>
          <w:rFonts w:cstheme="minorHAnsi"/>
          <w:sz w:val="24"/>
          <w:szCs w:val="24"/>
        </w:rPr>
        <w:t>c</w:t>
      </w:r>
      <w:r w:rsidRPr="004422F7">
        <w:rPr>
          <w:rStyle w:val="CommentReference"/>
          <w:rFonts w:cstheme="minorHAnsi"/>
          <w:sz w:val="24"/>
          <w:szCs w:val="24"/>
        </w:rPr>
        <w:t xml:space="preserve">) how </w:t>
      </w:r>
      <w:r w:rsidR="00373F6E" w:rsidRPr="004422F7">
        <w:rPr>
          <w:rStyle w:val="CommentReference"/>
          <w:rFonts w:cstheme="minorHAnsi"/>
          <w:sz w:val="24"/>
          <w:szCs w:val="24"/>
        </w:rPr>
        <w:t>common it is for</w:t>
      </w:r>
      <w:r w:rsidRPr="004422F7">
        <w:rPr>
          <w:rStyle w:val="CommentReference"/>
          <w:rFonts w:cstheme="minorHAnsi"/>
          <w:sz w:val="24"/>
          <w:szCs w:val="24"/>
        </w:rPr>
        <w:t xml:space="preserve"> </w:t>
      </w:r>
      <w:r w:rsidR="00BF52C3" w:rsidRPr="004422F7">
        <w:rPr>
          <w:rStyle w:val="CommentReference"/>
          <w:rFonts w:cstheme="minorHAnsi"/>
          <w:sz w:val="24"/>
          <w:szCs w:val="24"/>
        </w:rPr>
        <w:t xml:space="preserve">a </w:t>
      </w:r>
      <w:r w:rsidRPr="004422F7">
        <w:rPr>
          <w:rStyle w:val="CommentReference"/>
          <w:rFonts w:cstheme="minorHAnsi"/>
          <w:sz w:val="24"/>
          <w:szCs w:val="24"/>
        </w:rPr>
        <w:t xml:space="preserve">power analysis </w:t>
      </w:r>
      <w:r w:rsidR="00373F6E" w:rsidRPr="004422F7">
        <w:rPr>
          <w:rStyle w:val="CommentReference"/>
          <w:rFonts w:cstheme="minorHAnsi"/>
          <w:sz w:val="24"/>
          <w:szCs w:val="24"/>
        </w:rPr>
        <w:t>to be</w:t>
      </w:r>
      <w:r w:rsidR="00BF52C3" w:rsidRPr="004422F7">
        <w:rPr>
          <w:rStyle w:val="CommentReference"/>
          <w:rFonts w:cstheme="minorHAnsi"/>
          <w:sz w:val="24"/>
          <w:szCs w:val="24"/>
        </w:rPr>
        <w:t xml:space="preserve"> reported to have</w:t>
      </w:r>
      <w:r w:rsidRPr="004422F7">
        <w:rPr>
          <w:rStyle w:val="CommentReference"/>
          <w:rFonts w:cstheme="minorHAnsi"/>
          <w:sz w:val="24"/>
          <w:szCs w:val="24"/>
        </w:rPr>
        <w:t xml:space="preserve"> been </w:t>
      </w:r>
      <w:r w:rsidR="00BF52C3" w:rsidRPr="004422F7">
        <w:rPr>
          <w:rStyle w:val="CommentReference"/>
          <w:rFonts w:cstheme="minorHAnsi"/>
          <w:sz w:val="24"/>
          <w:szCs w:val="24"/>
        </w:rPr>
        <w:t xml:space="preserve">performed </w:t>
      </w:r>
      <w:r w:rsidR="00373F6E" w:rsidRPr="004422F7">
        <w:rPr>
          <w:rStyle w:val="CommentReference"/>
          <w:rFonts w:cstheme="minorHAnsi"/>
          <w:sz w:val="24"/>
          <w:szCs w:val="24"/>
        </w:rPr>
        <w:t>in published psychology research</w:t>
      </w:r>
      <w:r w:rsidRPr="004422F7">
        <w:rPr>
          <w:rStyle w:val="CommentReference"/>
          <w:rFonts w:cstheme="minorHAnsi"/>
          <w:sz w:val="24"/>
          <w:szCs w:val="24"/>
        </w:rPr>
        <w:t>, and (</w:t>
      </w:r>
      <w:r w:rsidR="00AE16C5">
        <w:rPr>
          <w:rStyle w:val="CommentReference"/>
          <w:rFonts w:cstheme="minorHAnsi"/>
          <w:sz w:val="24"/>
          <w:szCs w:val="24"/>
        </w:rPr>
        <w:t>d</w:t>
      </w:r>
      <w:r w:rsidRPr="004422F7">
        <w:rPr>
          <w:rStyle w:val="CommentReference"/>
          <w:rFonts w:cstheme="minorHAnsi"/>
          <w:sz w:val="24"/>
          <w:szCs w:val="24"/>
        </w:rPr>
        <w:t xml:space="preserve">) whether there has been an increase in the number of papers reporting having performed a power analysis </w:t>
      </w:r>
      <w:r w:rsidR="00373F6E" w:rsidRPr="004422F7">
        <w:rPr>
          <w:rStyle w:val="CommentReference"/>
          <w:rFonts w:cstheme="minorHAnsi"/>
          <w:sz w:val="24"/>
          <w:szCs w:val="24"/>
        </w:rPr>
        <w:t xml:space="preserve">over the last 30 years of psychological research. </w:t>
      </w:r>
      <w:r w:rsidRPr="004422F7">
        <w:rPr>
          <w:rStyle w:val="CommentReference"/>
          <w:rFonts w:cstheme="minorHAnsi"/>
          <w:sz w:val="24"/>
          <w:szCs w:val="24"/>
        </w:rPr>
        <w:t xml:space="preserve"> </w:t>
      </w:r>
    </w:p>
    <w:p w14:paraId="739FB58F" w14:textId="77777777" w:rsidR="000F435E" w:rsidRDefault="000F435E" w:rsidP="000F435E">
      <w:pPr>
        <w:rPr>
          <w:rStyle w:val="CommentReference"/>
          <w:rFonts w:cstheme="minorHAnsi"/>
          <w:b/>
          <w:sz w:val="24"/>
          <w:szCs w:val="24"/>
        </w:rPr>
      </w:pP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61AF926A"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and 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 xml:space="preserve">Analyses were also </w:t>
            </w:r>
            <w:r w:rsidR="00BA68C3">
              <w:rPr>
                <w:rFonts w:asciiTheme="minorHAnsi" w:hAnsiTheme="minorHAnsi" w:cstheme="minorHAnsi"/>
                <w:sz w:val="24"/>
                <w:szCs w:val="24"/>
              </w:rPr>
              <w:lastRenderedPageBreak/>
              <w:t>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Due to the fact that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A0A0DF0"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appendix 4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1A985650" w:rsidR="00364109" w:rsidRPr="00EB6583" w:rsidRDefault="00A92498" w:rsidP="00EB6583">
      <w:pPr>
        <w:spacing w:line="360" w:lineRule="auto"/>
        <w:ind w:firstLine="720"/>
        <w:rPr>
          <w:rFonts w:cstheme="minorHAnsi"/>
          <w:b/>
        </w:rPr>
      </w:pPr>
      <w:r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PsycInfo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3619EC5C"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sidR="0051040E">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883ED57" w:rsidR="00F53C4A" w:rsidRPr="004422F7" w:rsidRDefault="008C46FF" w:rsidP="00F53C4A">
      <w:pPr>
        <w:spacing w:line="360" w:lineRule="auto"/>
        <w:rPr>
          <w:rStyle w:val="CommentReference"/>
          <w:rFonts w:cstheme="minorHAnsi"/>
          <w:b/>
          <w:sz w:val="24"/>
          <w:szCs w:val="24"/>
        </w:rPr>
      </w:pPr>
      <w:proofErr w:type="gramStart"/>
      <w:r>
        <w:rPr>
          <w:rStyle w:val="CommentReference"/>
          <w:rFonts w:cstheme="minorHAnsi"/>
          <w:b/>
          <w:sz w:val="24"/>
          <w:szCs w:val="24"/>
        </w:rPr>
        <w:t>5.</w:t>
      </w:r>
      <w:r w:rsidR="00F53C4A">
        <w:rPr>
          <w:rStyle w:val="CommentReference"/>
          <w:rFonts w:cstheme="minorHAnsi"/>
          <w:b/>
          <w:sz w:val="24"/>
          <w:szCs w:val="24"/>
        </w:rPr>
        <w:t>1.2  Inclusion</w:t>
      </w:r>
      <w:proofErr w:type="gramEnd"/>
      <w:r w:rsidR="00F53C4A">
        <w:rPr>
          <w:rStyle w:val="CommentReference"/>
          <w:rFonts w:cstheme="minorHAnsi"/>
          <w:b/>
          <w:sz w:val="24"/>
          <w:szCs w:val="24"/>
        </w:rPr>
        <w:t xml:space="preserve">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7C2530C4" w14:textId="250F4707"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lastRenderedPageBreak/>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well as psychiatry, educational and neuroscience research). Articles which analysed the power of fewer than six articles </w:t>
      </w:r>
      <w:r>
        <w:rPr>
          <w:rFonts w:asciiTheme="minorHAnsi" w:hAnsiTheme="minorHAnsi" w:cstheme="minorHAnsi"/>
          <w:sz w:val="24"/>
          <w:szCs w:val="24"/>
        </w:rPr>
        <w:t>were</w:t>
      </w:r>
      <w:r w:rsidRPr="004422F7">
        <w:rPr>
          <w:rFonts w:asciiTheme="minorHAnsi" w:hAnsiTheme="minorHAnsi" w:cstheme="minorHAnsi"/>
          <w:sz w:val="24"/>
          <w:szCs w:val="24"/>
        </w:rPr>
        <w:t xml:space="preserve"> excluded in order to exclude studies which targeted a small underpowered body of research. Only articles with full texts available in English </w:t>
      </w:r>
      <w:r>
        <w:rPr>
          <w:rFonts w:asciiTheme="minorHAnsi" w:hAnsiTheme="minorHAnsi" w:cstheme="minorHAnsi"/>
          <w:sz w:val="24"/>
          <w:szCs w:val="24"/>
        </w:rPr>
        <w:t xml:space="preserve">were </w:t>
      </w:r>
      <w:r w:rsidRPr="004422F7">
        <w:rPr>
          <w:rFonts w:asciiTheme="minorHAnsi" w:hAnsiTheme="minorHAnsi" w:cstheme="minorHAnsi"/>
          <w:sz w:val="24"/>
          <w:szCs w:val="24"/>
        </w:rPr>
        <w:t>included. Dissertations and other grey were included if they otherwise met the inclusion criteria. The secondary analysis includes all identified articles which examine a body of research in the same population of psychology research and report the (a) the number of articles examined and (b) the number of articles or the proportion of examined articles which reported a power analysis.</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in the literature. </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11B3BA8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 xml:space="preserve">See figure [PRISMA] for a PRISMA flow diagram of article identification, screening, eligibility analysis and inclusion. A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A108A6" w:rsidRDefault="00A108A6"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A108A6" w:rsidRDefault="00A108A6"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456732F6" w:rsidR="00AC724F" w:rsidRPr="004422F7" w:rsidRDefault="0089322F">
      <w:pPr>
        <w:rPr>
          <w:rFonts w:cstheme="minorHAnsi"/>
        </w:rPr>
      </w:pPr>
      <w:r w:rsidRPr="004422F7">
        <w:rPr>
          <w:rFonts w:cstheme="minorHAnsi"/>
          <w:noProof/>
        </w:rPr>
        <mc:AlternateContent>
          <mc:Choice Requires="wps">
            <w:drawing>
              <wp:anchor distT="0" distB="0" distL="114300" distR="114300" simplePos="0" relativeHeight="251667456" behindDoc="0" locked="0" layoutInCell="1" allowOverlap="1" wp14:anchorId="1D76F270" wp14:editId="4BD79C6C">
                <wp:simplePos x="0" y="0"/>
                <wp:positionH relativeFrom="column">
                  <wp:posOffset>4262755</wp:posOffset>
                </wp:positionH>
                <wp:positionV relativeFrom="paragraph">
                  <wp:posOffset>2568575</wp:posOffset>
                </wp:positionV>
                <wp:extent cx="1816735" cy="793115"/>
                <wp:effectExtent l="0" t="0" r="12065" b="2603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793115"/>
                        </a:xfrm>
                        <a:prstGeom prst="rect">
                          <a:avLst/>
                        </a:prstGeom>
                        <a:solidFill>
                          <a:srgbClr val="FFFFFF"/>
                        </a:solidFill>
                        <a:ln w="9525">
                          <a:solidFill>
                            <a:srgbClr val="000000"/>
                          </a:solidFill>
                          <a:miter lim="800000"/>
                          <a:headEnd/>
                          <a:tailEnd/>
                        </a:ln>
                      </wps:spPr>
                      <wps:txbx>
                        <w:txbxContent>
                          <w:p w14:paraId="6F464ADA" w14:textId="1737E7F5" w:rsidR="00A108A6" w:rsidRDefault="00A108A6"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7" style="position:absolute;margin-left:335.65pt;margin-top:202.25pt;width:143.05pt;height:6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">
                <v:textbox inset=",7.2pt,,7.2pt">
                  <w:txbxContent>
                    <w:p w14:paraId="6F464ADA" w14:textId="1737E7F5" w:rsidR="00A108A6" w:rsidRDefault="00A108A6"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v:textbox>
              </v:rect>
            </w:pict>
          </mc:Fallback>
        </mc:AlternateContent>
      </w:r>
      <w:r w:rsidRPr="004422F7">
        <w:rPr>
          <w:rFonts w:cstheme="minorHAnsi"/>
          <w:noProof/>
        </w:rPr>
        <mc:AlternateContent>
          <mc:Choice Requires="wps">
            <w:drawing>
              <wp:anchor distT="0" distB="0" distL="114300" distR="114300" simplePos="0" relativeHeight="251669504" behindDoc="0" locked="0" layoutInCell="1" allowOverlap="1" wp14:anchorId="6C8C6822" wp14:editId="231ADE83">
                <wp:simplePos x="0" y="0"/>
                <wp:positionH relativeFrom="column">
                  <wp:posOffset>4274820</wp:posOffset>
                </wp:positionH>
                <wp:positionV relativeFrom="paragraph">
                  <wp:posOffset>3459480</wp:posOffset>
                </wp:positionV>
                <wp:extent cx="1791335" cy="3087370"/>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087370"/>
                        </a:xfrm>
                        <a:prstGeom prst="rect">
                          <a:avLst/>
                        </a:prstGeom>
                        <a:solidFill>
                          <a:srgbClr val="FFFFFF"/>
                        </a:solidFill>
                        <a:ln w="9525">
                          <a:solidFill>
                            <a:srgbClr val="000000"/>
                          </a:solidFill>
                          <a:miter lim="800000"/>
                          <a:headEnd/>
                          <a:tailEnd/>
                        </a:ln>
                      </wps:spPr>
                      <wps:txbx>
                        <w:txbxContent>
                          <w:p w14:paraId="05E294F1" w14:textId="540749BB" w:rsidR="00A108A6" w:rsidRDefault="00A108A6"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A108A6" w:rsidRDefault="00A108A6"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A108A6" w:rsidRDefault="00A108A6"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8" style="position:absolute;margin-left:336.6pt;margin-top:272.4pt;width:141.05pt;height:24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">
                <v:textbox inset=",7.2pt,,7.2pt">
                  <w:txbxContent>
                    <w:p w14:paraId="05E294F1" w14:textId="540749BB" w:rsidR="00A108A6" w:rsidRDefault="00A108A6"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A108A6" w:rsidRDefault="00A108A6"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A108A6" w:rsidRDefault="00A108A6" w:rsidP="00AC724F">
                      <w:pPr>
                        <w:jc w:val="center"/>
                        <w:rPr>
                          <w:rFonts w:ascii="Calibri" w:hAnsi="Calibri"/>
                          <w:sz w:val="22"/>
                          <w:szCs w:val="22"/>
                          <w:lang w:val="en"/>
                        </w:rPr>
                      </w:pP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A108A6" w:rsidRDefault="00A108A6"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A108A6" w:rsidRDefault="00A108A6"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A108A6" w:rsidRDefault="00A108A6"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A108A6" w:rsidRDefault="00A108A6"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A108A6" w:rsidRPr="00A22410" w:rsidRDefault="00A108A6"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A108A6" w:rsidRDefault="00A108A6"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A108A6" w:rsidRPr="00A22410" w:rsidRDefault="00A108A6"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A108A6" w:rsidRDefault="00A108A6"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A108A6" w:rsidRDefault="00A108A6"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A108A6" w:rsidRDefault="00A108A6"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A108A6" w:rsidRDefault="00A108A6"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A108A6" w:rsidRDefault="00A108A6"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A108A6" w:rsidRDefault="00A108A6"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A108A6" w:rsidRDefault="00A108A6"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A108A6" w:rsidRDefault="00A108A6"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A108A6" w:rsidRDefault="00A108A6"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A108A6" w:rsidRDefault="00A108A6"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A108A6" w:rsidRDefault="00A108A6"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C395FBA" w:rsidR="00A108A6" w:rsidRDefault="00A108A6"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C395FBA" w:rsidR="00A108A6" w:rsidRDefault="00A108A6"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2AC88B98" w:rsidR="00A108A6" w:rsidRPr="0063245F" w:rsidRDefault="00A108A6"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2AC88B98" w:rsidR="00A108A6" w:rsidRPr="0063245F" w:rsidRDefault="00A108A6"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7777777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being extracted from these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606A5BDF"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0"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p>
    <w:p w14:paraId="204CCBC8" w14:textId="4066529F"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 handling</w:t>
      </w:r>
    </w:p>
    <w:p w14:paraId="48C1FD06" w14:textId="118E47A6" w:rsidR="00D42EB6" w:rsidRDefault="002269D1" w:rsidP="00BF6A13">
      <w:pPr>
        <w:spacing w:line="360" w:lineRule="auto"/>
        <w:ind w:firstLine="720"/>
        <w:rPr>
          <w:rFonts w:cstheme="minorHAnsi"/>
        </w:rPr>
      </w:pPr>
      <w:bookmarkStart w:id="4"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5"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w:lastRenderedPageBreak/>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15E9D6BA"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7A25F4">
        <w:rPr>
          <w:rFonts w:eastAsiaTheme="minorEastAsia" w:cstheme="minorHAnsi"/>
        </w:rPr>
        <w:t xml:space="preserve"> using the </w:t>
      </w:r>
      <w:proofErr w:type="spellStart"/>
      <w:r w:rsidR="007A25F4">
        <w:rPr>
          <w:rFonts w:eastAsiaTheme="minorEastAsia" w:cstheme="minorHAnsi"/>
        </w:rPr>
        <w:t>V</w:t>
      </w:r>
      <w:r w:rsidR="003B1953">
        <w:rPr>
          <w:rFonts w:eastAsiaTheme="minorEastAsia" w:cstheme="minorHAnsi"/>
        </w:rPr>
        <w:t>ar</w:t>
      </w:r>
      <w:r w:rsidR="007A25F4">
        <w:rPr>
          <w:rFonts w:eastAsiaTheme="minorEastAsia" w:cstheme="minorHAnsi"/>
        </w:rPr>
        <w:t>ameta</w:t>
      </w:r>
      <w:proofErr w:type="spellEnd"/>
      <w:r w:rsidR="007A25F4">
        <w:rPr>
          <w:rFonts w:eastAsiaTheme="minorEastAsia" w:cstheme="minorHAnsi"/>
        </w:rPr>
        <w:t xml:space="preserve"> package </w:t>
      </w:r>
      <w:r w:rsidR="00893D25">
        <w:rPr>
          <w:rFonts w:eastAsiaTheme="minorEastAsia" w:cstheme="minorHAnsi"/>
        </w:rPr>
        <w:t>[</w:t>
      </w:r>
      <w:r w:rsidR="007A25F4">
        <w:rPr>
          <w:rFonts w:eastAsiaTheme="minorEastAsia" w:cstheme="minorHAnsi"/>
        </w:rPr>
        <w:t>citation</w:t>
      </w:r>
      <w:r w:rsidR="00893D25">
        <w:rPr>
          <w:rFonts w:eastAsiaTheme="minorEastAsia" w:cstheme="minorHAnsi"/>
        </w:rPr>
        <w:t>]</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 xml:space="preserve">median, </w:t>
      </w:r>
      <w:r w:rsidR="004005BA" w:rsidRPr="00981F4A">
        <w:rPr>
          <w:rFonts w:eastAsiaTheme="minorEastAsia" w:cstheme="minorHAnsi"/>
        </w:rPr>
        <w:lastRenderedPageBreak/>
        <w:t>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4"/>
    <w:bookmarkEnd w:id="5"/>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1D47F220"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Wan et </w:t>
      </w:r>
      <w:proofErr w:type="spellStart"/>
      <w:proofErr w:type="gramStart"/>
      <w:r w:rsidR="007A25F4">
        <w:rPr>
          <w:rFonts w:cstheme="minorHAnsi"/>
        </w:rPr>
        <w:t>al’s</w:t>
      </w:r>
      <w:proofErr w:type="spellEnd"/>
      <w:r w:rsidR="007A25F4">
        <w:rPr>
          <w:rFonts w:cstheme="minorHAnsi"/>
        </w:rPr>
        <w:t xml:space="preserve"> </w:t>
      </w:r>
      <w:r w:rsidRPr="004422F7">
        <w:rPr>
          <w:rFonts w:cstheme="minorHAnsi"/>
        </w:rPr>
        <w:t xml:space="preserve"> </w:t>
      </w:r>
      <w:r w:rsidR="00721674" w:rsidRPr="004422F7">
        <w:rPr>
          <w:rFonts w:cstheme="minorHAnsi"/>
        </w:rPr>
        <w:t>All</w:t>
      </w:r>
      <w:proofErr w:type="gramEnd"/>
      <w:r w:rsidR="00721674" w:rsidRPr="004422F7">
        <w:rPr>
          <w:rFonts w:cstheme="minorHAnsi"/>
        </w:rPr>
        <w:t xml:space="preserve"> </w:t>
      </w:r>
      <w:r w:rsidR="00721674">
        <w:rPr>
          <w:rFonts w:cstheme="minorHAnsi"/>
        </w:rPr>
        <w:t>data and</w:t>
      </w:r>
      <w:r w:rsidR="00721674" w:rsidRPr="004422F7">
        <w:rPr>
          <w:rFonts w:cstheme="minorHAnsi"/>
        </w:rPr>
        <w:t xml:space="preserve"> code used in these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08B9AE73" w14:textId="10039D8E" w:rsidR="00766DBA" w:rsidRDefault="008C46FF" w:rsidP="00FD778B">
      <w:pPr>
        <w:spacing w:line="360" w:lineRule="auto"/>
        <w:rPr>
          <w:rFonts w:cstheme="minorHAnsi"/>
        </w:rPr>
      </w:pPr>
      <w:r>
        <w:rPr>
          <w:rFonts w:cstheme="minorHAnsi"/>
          <w:b/>
        </w:rPr>
        <w:t>5.</w:t>
      </w:r>
      <w:r w:rsidR="0080364D" w:rsidRPr="004422F7">
        <w:rPr>
          <w:rFonts w:cstheme="minorHAnsi"/>
          <w:b/>
        </w:rPr>
        <w:t>2.5.1 Primary analysis:</w:t>
      </w:r>
    </w:p>
    <w:p w14:paraId="3C53A732" w14:textId="2BD3D911"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973333" w:rsidRPr="00973333">
        <w:rPr>
          <w:rFonts w:cstheme="minorHAnsi"/>
          <w:b/>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31314A33" w:rsidR="007457B7" w:rsidRDefault="00833669" w:rsidP="007457B7">
      <w:pPr>
        <w:spacing w:line="360" w:lineRule="auto"/>
        <w:ind w:firstLine="720"/>
        <w:rPr>
          <w:rStyle w:val="CommentReference"/>
          <w:rFonts w:cstheme="minorHAnsi"/>
          <w:sz w:val="24"/>
          <w:szCs w:val="24"/>
        </w:rPr>
      </w:pPr>
      <w:r>
        <w:rPr>
          <w:rFonts w:cstheme="minorHAnsi"/>
        </w:rPr>
        <w:t>To investigate whether the results are 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benchmarks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14E7722F" w:rsidR="007457B7" w:rsidRPr="00340322" w:rsidRDefault="007457B7" w:rsidP="007457B7">
      <w:pPr>
        <w:spacing w:line="360" w:lineRule="auto"/>
        <w:ind w:firstLine="720"/>
        <w:rPr>
          <w:rFonts w:cstheme="minorHAnsi"/>
        </w:rPr>
      </w:pPr>
      <w:r>
        <w:rPr>
          <w:rFonts w:cstheme="minorHAnsi"/>
        </w:rPr>
        <w:lastRenderedPageBreak/>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This analysis showed little difference in parameter estimates,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7E86DF1C" w14:textId="1124C4C4" w:rsidR="00BE3702" w:rsidRPr="004422F7" w:rsidRDefault="0080364D" w:rsidP="008A6FD9">
      <w:pPr>
        <w:spacing w:line="360" w:lineRule="auto"/>
        <w:ind w:firstLine="720"/>
        <w:rPr>
          <w:rFonts w:cstheme="minorHAnsi"/>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and study was included as a random effect in order to 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B701613" w:rsidR="00D50DD6" w:rsidRDefault="007A0A0C" w:rsidP="00470712">
      <w:pPr>
        <w:spacing w:line="360" w:lineRule="auto"/>
        <w:rPr>
          <w:rFonts w:cstheme="minorHAnsi"/>
        </w:rPr>
      </w:pPr>
      <w:r>
        <w:rPr>
          <w:rFonts w:cstheme="minorHAnsi"/>
          <w:b/>
        </w:rPr>
        <w:br w:type="page"/>
      </w:r>
      <w:r w:rsidR="00833669">
        <w:rPr>
          <w:rFonts w:cstheme="minorHAnsi"/>
        </w:rPr>
        <w:lastRenderedPageBreak/>
        <w:t xml:space="preserve"> </w:t>
      </w:r>
      <w:r w:rsidR="008C46FF">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t>5.</w:t>
      </w:r>
      <w:r w:rsidR="005D5FF6" w:rsidRPr="004422F7">
        <w:rPr>
          <w:rFonts w:cstheme="minorHAnsi"/>
        </w:rPr>
        <w:t>3.</w:t>
      </w:r>
      <w:r w:rsidR="005D5FF6">
        <w:rPr>
          <w:rFonts w:cstheme="minorHAnsi"/>
        </w:rPr>
        <w:t>1</w:t>
      </w:r>
      <w:r w:rsidR="005D5FF6" w:rsidRPr="004422F7">
        <w:rPr>
          <w:rFonts w:cstheme="minorHAnsi"/>
        </w:rPr>
        <w:t>.1 Sample characteristics</w:t>
      </w:r>
    </w:p>
    <w:p w14:paraId="012052F1" w14:textId="0E67BE12" w:rsidR="005D5FF6" w:rsidRDefault="008C46FF" w:rsidP="00470712">
      <w:pPr>
        <w:spacing w:line="360" w:lineRule="auto"/>
        <w:rPr>
          <w:rFonts w:cstheme="minorHAnsi"/>
        </w:rPr>
      </w:pPr>
      <w:r>
        <w:rPr>
          <w:rFonts w:cstheme="minorHAnsi"/>
        </w:rPr>
        <w:t xml:space="preserve">The </w:t>
      </w:r>
    </w:p>
    <w:p w14:paraId="63004B5F" w14:textId="55700F2A"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results </w:t>
      </w:r>
    </w:p>
    <w:p w14:paraId="11704759" w14:textId="77777777" w:rsidR="00340322" w:rsidRDefault="00A025F2" w:rsidP="008C46FF">
      <w:pPr>
        <w:spacing w:line="360" w:lineRule="auto"/>
        <w:ind w:firstLine="720"/>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results </w:t>
      </w:r>
      <w:r w:rsidR="009D4CC6">
        <w:rPr>
          <w:rFonts w:cstheme="minorHAnsi"/>
        </w:rPr>
        <w:t xml:space="preserve">suggest that the average power of psychology </w:t>
      </w:r>
      <w:r w:rsidR="00284E17">
        <w:rPr>
          <w:rFonts w:cstheme="minorHAnsi"/>
        </w:rPr>
        <w:t>at the mean year included in th</w:t>
      </w:r>
      <w:r w:rsidR="00326253">
        <w:rPr>
          <w:rFonts w:cstheme="minorHAnsi"/>
        </w:rPr>
        <w:t>is study</w:t>
      </w:r>
      <w:r w:rsidR="00284E17">
        <w:rPr>
          <w:rFonts w:cstheme="minorHAnsi"/>
        </w:rPr>
        <w:t xml:space="preserve"> </w:t>
      </w:r>
      <w:r w:rsidR="009D4CC6">
        <w:rPr>
          <w:rFonts w:cstheme="minorHAnsi"/>
        </w:rPr>
        <w:t>was .23 (95% CIs [.17, .29]) for ‘small’ effects, .62 (95% CIs [.55, .69]) to detect ‘medium’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92]) to detect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 </w:t>
      </w:r>
      <w:r w:rsidR="001E12FB">
        <w:rPr>
          <w:rFonts w:cstheme="minorHAnsi"/>
        </w:rPr>
        <w:t>Random effects for article and subfield explain relatively small amounts of variance in all three models, and there is a significant amount of unexplained variance at all three benchmark</w:t>
      </w:r>
      <w:r w:rsidR="00B02060">
        <w:rPr>
          <w:rFonts w:cstheme="minorHAnsi"/>
        </w:rPr>
        <w:t xml:space="preserve">s </w:t>
      </w:r>
      <w:r w:rsidR="001E12FB">
        <w:rPr>
          <w:rFonts w:cstheme="minorHAnsi"/>
        </w:rPr>
        <w:t xml:space="preserve">(see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 degree of unexplained heterogeneity is unsurprising</w:t>
      </w:r>
      <w:r w:rsidR="001E12FB">
        <w:rPr>
          <w:rFonts w:cstheme="minorHAnsi"/>
        </w:rPr>
        <w:t xml:space="preserve"> </w:t>
      </w:r>
      <w:r w:rsidR="004823E8">
        <w:rPr>
          <w:rFonts w:cstheme="minorHAnsi"/>
        </w:rPr>
        <w:t xml:space="preserve">given the heterogenous populations </w:t>
      </w:r>
      <w:r w:rsidR="00284E17">
        <w:rPr>
          <w:rFonts w:cstheme="minorHAnsi"/>
        </w:rPr>
        <w:t>included in this analysis, where researchers were estimating values as different as</w:t>
      </w:r>
      <w:r w:rsidR="00326253">
        <w:rPr>
          <w:rFonts w:cstheme="minorHAnsi"/>
        </w:rPr>
        <w:t xml:space="preserve"> power for regression models in IO psychology </w:t>
      </w:r>
      <w:r w:rsidR="003E68CF">
        <w:rPr>
          <w:rFonts w:cstheme="minorHAnsi"/>
        </w:rPr>
        <w:t>compared to</w:t>
      </w:r>
      <w:r w:rsidR="001E12FB">
        <w:rPr>
          <w:rFonts w:cstheme="minorHAnsi"/>
        </w:rPr>
        <w:t xml:space="preserve"> just</w:t>
      </w:r>
      <w:r w:rsidR="00326253">
        <w:rPr>
          <w:rFonts w:cstheme="minorHAnsi"/>
        </w:rPr>
        <w:t xml:space="preserve"> t-tests in clinical psychology</w:t>
      </w:r>
      <w:r w:rsidR="001B516A">
        <w:rPr>
          <w:rFonts w:cstheme="minorHAnsi"/>
        </w:rPr>
        <w:t xml:space="preserve">. </w:t>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566A9343" w14:textId="1720630B" w:rsidR="00340322" w:rsidRDefault="00340322" w:rsidP="008C46FF">
      <w:pPr>
        <w:spacing w:line="360" w:lineRule="auto"/>
        <w:ind w:firstLine="720"/>
        <w:rPr>
          <w:rStyle w:val="CommentReference"/>
          <w:rFonts w:cstheme="minorHAnsi"/>
          <w:sz w:val="24"/>
          <w:szCs w:val="24"/>
        </w:rPr>
      </w:pPr>
      <w:r>
        <w:rPr>
          <w:rStyle w:val="CommentReference"/>
          <w:rFonts w:cstheme="minorHAnsi"/>
          <w:sz w:val="24"/>
          <w:szCs w:val="24"/>
        </w:rPr>
        <w:t>In order to assess for publication bias, we used an analogue to Egger’s Test</w:t>
      </w:r>
      <w:r w:rsidR="00AE60F5">
        <w:rPr>
          <w:rStyle w:val="CommentReference"/>
          <w:rFonts w:cstheme="minorHAnsi"/>
          <w:sz w:val="24"/>
          <w:szCs w:val="24"/>
        </w:rPr>
        <w:t xml:space="preserve">; </w:t>
      </w:r>
      <w:r>
        <w:rPr>
          <w:rStyle w:val="CommentReference"/>
          <w:rFonts w:cstheme="minorHAnsi"/>
          <w:sz w:val="24"/>
          <w:szCs w:val="24"/>
        </w:rPr>
        <w:t xml:space="preserve">including the number of articles which were surveyed in each study as a moderator. This test showed that </w:t>
      </w:r>
      <w:r w:rsidR="00634ABD">
        <w:rPr>
          <w:rStyle w:val="CommentReference"/>
          <w:rFonts w:cstheme="minorHAnsi"/>
          <w:sz w:val="24"/>
          <w:szCs w:val="24"/>
        </w:rPr>
        <w:t>sample size was a significant positive predictor of average statistical power at</w:t>
      </w:r>
      <w:r>
        <w:rPr>
          <w:rStyle w:val="CommentReference"/>
          <w:rFonts w:cstheme="minorHAnsi"/>
          <w:sz w:val="24"/>
          <w:szCs w:val="24"/>
        </w:rPr>
        <w:t xml:space="preserve"> the small and medium benchmark </w:t>
      </w:r>
      <w:proofErr w:type="gramStart"/>
      <w:r>
        <w:rPr>
          <w:rStyle w:val="CommentReference"/>
          <w:rFonts w:cstheme="minorHAnsi"/>
          <w:sz w:val="24"/>
          <w:szCs w:val="24"/>
        </w:rPr>
        <w:t>levels</w:t>
      </w:r>
      <w:r w:rsidR="00634ABD">
        <w:rPr>
          <w:rStyle w:val="CommentReference"/>
          <w:rFonts w:cstheme="minorHAnsi"/>
          <w:sz w:val="24"/>
          <w:szCs w:val="24"/>
        </w:rPr>
        <w:t>, but</w:t>
      </w:r>
      <w:proofErr w:type="gramEnd"/>
      <w:r w:rsidR="00634ABD">
        <w:rPr>
          <w:rStyle w:val="CommentReference"/>
          <w:rFonts w:cstheme="minorHAnsi"/>
          <w:sz w:val="24"/>
          <w:szCs w:val="24"/>
        </w:rPr>
        <w:t xml:space="preserve"> was not </w:t>
      </w:r>
      <w:r>
        <w:rPr>
          <w:rStyle w:val="CommentReference"/>
          <w:rFonts w:cstheme="minorHAnsi"/>
          <w:sz w:val="24"/>
          <w:szCs w:val="24"/>
        </w:rPr>
        <w:t>at the large effect size. Parameter estimates for the small medium and large effects respectively were (</w:t>
      </w:r>
      <w:r w:rsidR="00AE60F5">
        <w:rPr>
          <w:rStyle w:val="CommentReference"/>
          <w:rFonts w:cstheme="minorHAnsi"/>
          <w:sz w:val="24"/>
          <w:szCs w:val="24"/>
        </w:rPr>
        <w:t xml:space="preserve">small </w:t>
      </w:r>
      <w:r>
        <w:rPr>
          <w:rStyle w:val="CommentReference"/>
          <w:rFonts w:cstheme="minorHAnsi"/>
          <w:sz w:val="24"/>
          <w:szCs w:val="24"/>
        </w:rPr>
        <w:t xml:space="preserve">b </w:t>
      </w:r>
      <w:proofErr w:type="gramStart"/>
      <w:r>
        <w:rPr>
          <w:rStyle w:val="CommentReference"/>
          <w:rFonts w:cstheme="minorHAnsi"/>
          <w:sz w:val="24"/>
          <w:szCs w:val="24"/>
        </w:rPr>
        <w:t xml:space="preserve">= </w:t>
      </w:r>
      <w:r w:rsidRPr="0041169B">
        <w:rPr>
          <w:rStyle w:val="CommentReference"/>
          <w:rFonts w:cstheme="minorHAnsi"/>
          <w:sz w:val="24"/>
          <w:szCs w:val="24"/>
        </w:rPr>
        <w:t xml:space="preserve"> 0.0005</w:t>
      </w:r>
      <w:proofErr w:type="gramEnd"/>
      <w:r>
        <w:rPr>
          <w:rStyle w:val="CommentReference"/>
          <w:rFonts w:cstheme="minorHAnsi"/>
          <w:sz w:val="24"/>
          <w:szCs w:val="24"/>
        </w:rPr>
        <w:t xml:space="preserve">, p = &lt;.001, </w:t>
      </w:r>
      <w:r w:rsidR="00AE60F5">
        <w:rPr>
          <w:rStyle w:val="CommentReference"/>
          <w:rFonts w:cstheme="minorHAnsi"/>
          <w:sz w:val="24"/>
          <w:szCs w:val="24"/>
        </w:rPr>
        <w:t xml:space="preserve">medium </w:t>
      </w:r>
      <w:r>
        <w:rPr>
          <w:rStyle w:val="CommentReference"/>
          <w:rFonts w:cstheme="minorHAnsi"/>
          <w:sz w:val="24"/>
          <w:szCs w:val="24"/>
        </w:rPr>
        <w:t>b = .0001,</w:t>
      </w:r>
      <w:r w:rsidR="00AE60F5">
        <w:rPr>
          <w:rStyle w:val="CommentReference"/>
          <w:rFonts w:cstheme="minorHAnsi"/>
          <w:sz w:val="24"/>
          <w:szCs w:val="24"/>
        </w:rPr>
        <w:t xml:space="preserve"> </w:t>
      </w:r>
      <w:r>
        <w:rPr>
          <w:rStyle w:val="CommentReference"/>
          <w:rFonts w:cstheme="minorHAnsi"/>
          <w:sz w:val="24"/>
          <w:szCs w:val="24"/>
        </w:rPr>
        <w:t xml:space="preserve">p &lt; .001, </w:t>
      </w:r>
      <w:r w:rsidR="00AE60F5">
        <w:rPr>
          <w:rStyle w:val="CommentReference"/>
          <w:rFonts w:cstheme="minorHAnsi"/>
          <w:sz w:val="24"/>
          <w:szCs w:val="24"/>
        </w:rPr>
        <w:t xml:space="preserve">and large </w:t>
      </w:r>
      <w:r>
        <w:rPr>
          <w:rStyle w:val="CommentReference"/>
          <w:rFonts w:cstheme="minorHAnsi"/>
          <w:sz w:val="24"/>
          <w:szCs w:val="24"/>
        </w:rPr>
        <w:t xml:space="preserve">b = -0.000, </w:t>
      </w:r>
      <w:r w:rsidRPr="00471E3C">
        <w:rPr>
          <w:rStyle w:val="CommentReference"/>
          <w:rFonts w:cstheme="minorHAnsi"/>
          <w:i/>
          <w:sz w:val="24"/>
          <w:szCs w:val="24"/>
        </w:rPr>
        <w:t>p</w:t>
      </w:r>
      <w:r>
        <w:rPr>
          <w:rStyle w:val="CommentReference"/>
          <w:rFonts w:cstheme="minorHAnsi"/>
          <w:sz w:val="24"/>
          <w:szCs w:val="24"/>
        </w:rPr>
        <w:t xml:space="preserve"> = .59), </w:t>
      </w:r>
      <w:r w:rsidR="008C46FF">
        <w:rPr>
          <w:rStyle w:val="CommentReference"/>
          <w:rFonts w:cstheme="minorHAnsi"/>
          <w:sz w:val="24"/>
          <w:szCs w:val="24"/>
        </w:rPr>
        <w:t>showing</w:t>
      </w:r>
      <w:r>
        <w:rPr>
          <w:rStyle w:val="CommentReference"/>
          <w:rFonts w:cstheme="minorHAnsi"/>
          <w:sz w:val="24"/>
          <w:szCs w:val="24"/>
        </w:rPr>
        <w:t xml:space="preserve"> that larger studies tend to provide higher power estimates</w:t>
      </w:r>
      <w:r w:rsidR="008C46FF">
        <w:rPr>
          <w:rStyle w:val="CommentReference"/>
          <w:rFonts w:cstheme="minorHAnsi"/>
          <w:sz w:val="24"/>
          <w:szCs w:val="24"/>
        </w:rPr>
        <w:t xml:space="preserve"> at the small and medium effect sizes</w:t>
      </w:r>
      <w:r>
        <w:rPr>
          <w:rStyle w:val="CommentReference"/>
          <w:rFonts w:cstheme="minorHAnsi"/>
          <w:sz w:val="24"/>
          <w:szCs w:val="24"/>
        </w:rPr>
        <w:t>.</w:t>
      </w:r>
      <w:r w:rsidR="008C46FF">
        <w:rPr>
          <w:rStyle w:val="CommentReference"/>
          <w:rFonts w:cstheme="minorHAnsi"/>
          <w:sz w:val="24"/>
          <w:szCs w:val="24"/>
        </w:rPr>
        <w:t xml:space="preserve"> The fact that this is not seen at the large effect size is likely due to ceiling effects. </w:t>
      </w:r>
      <w:r w:rsidR="002657FD">
        <w:rPr>
          <w:rStyle w:val="CommentReference"/>
          <w:rFonts w:cstheme="minorHAnsi"/>
          <w:sz w:val="24"/>
          <w:szCs w:val="24"/>
        </w:rPr>
        <w:t xml:space="preserve"> </w:t>
      </w:r>
    </w:p>
    <w:p w14:paraId="0B0CA77C" w14:textId="11FBE102" w:rsidR="00326253" w:rsidRPr="004422F7" w:rsidRDefault="00326253" w:rsidP="007A3B76">
      <w:pPr>
        <w:widowControl w:val="0"/>
        <w:autoSpaceDE w:val="0"/>
        <w:autoSpaceDN w:val="0"/>
        <w:adjustRightInd w:val="0"/>
        <w:spacing w:line="360" w:lineRule="auto"/>
        <w:rPr>
          <w:rFonts w:cstheme="minorHAnsi"/>
        </w:rPr>
      </w:pP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47D9C676"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49963215"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5CFC1C3E"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3A3FFB">
              <w:rPr>
                <w:rFonts w:cstheme="minorHAnsi"/>
              </w:rPr>
              <w:t>1</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4F533C5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w:t>
            </w:r>
            <w:r w:rsidR="003A3FFB">
              <w:rPr>
                <w:rFonts w:cstheme="minorHAnsi"/>
              </w:rPr>
              <w:t>1</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24E23BA6"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w:t>
            </w:r>
            <w:r w:rsidR="003A3FFB">
              <w:rPr>
                <w:rFonts w:cstheme="minorHAnsi"/>
              </w:rPr>
              <w:t>1</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6A34EEAD" w:rsidR="00726399" w:rsidRDefault="00726399" w:rsidP="00E84949">
      <w:pPr>
        <w:widowControl w:val="0"/>
        <w:autoSpaceDE w:val="0"/>
        <w:autoSpaceDN w:val="0"/>
        <w:adjustRightInd w:val="0"/>
        <w:rPr>
          <w:rFonts w:cstheme="minorHAnsi"/>
        </w:rPr>
      </w:pPr>
    </w:p>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4963CAD3"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780916" w:rsidRPr="004422F7">
        <w:rPr>
          <w:rFonts w:cstheme="minorHAnsi"/>
          <w:b/>
        </w:rPr>
        <w:t>Secondary analysis</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Sample characteristics</w:t>
      </w:r>
    </w:p>
    <w:p w14:paraId="145001C7" w14:textId="01D4091D" w:rsidR="00AD28F8" w:rsidRDefault="00433077" w:rsidP="00454FEB">
      <w:pPr>
        <w:spacing w:line="360" w:lineRule="auto"/>
        <w:ind w:firstLine="720"/>
        <w:rPr>
          <w:rFonts w:cstheme="minorHAnsi"/>
        </w:rPr>
      </w:pPr>
      <w:r w:rsidRPr="004422F7">
        <w:rPr>
          <w:rFonts w:cstheme="minorHAnsi"/>
        </w:rPr>
        <w:t xml:space="preserve">A plurality </w:t>
      </w:r>
      <w:r w:rsidR="0096633F" w:rsidRPr="004422F7">
        <w:rPr>
          <w:rFonts w:cstheme="minorHAnsi"/>
        </w:rPr>
        <w:t>of data points (</w:t>
      </w:r>
      <w:r w:rsidR="00E65D95" w:rsidRPr="004422F7">
        <w:rPr>
          <w:rFonts w:cstheme="minorHAnsi"/>
        </w:rPr>
        <w:t xml:space="preserve">8 </w:t>
      </w:r>
      <w:r w:rsidR="0096633F" w:rsidRPr="004422F7">
        <w:rPr>
          <w:rFonts w:cstheme="minorHAnsi"/>
        </w:rPr>
        <w:t xml:space="preserve">out of </w:t>
      </w:r>
      <w:r w:rsidR="00332B08" w:rsidRPr="004422F7">
        <w:rPr>
          <w:rFonts w:cstheme="minorHAnsi"/>
        </w:rPr>
        <w:t>2</w:t>
      </w:r>
      <w:r w:rsidR="00E65D95" w:rsidRPr="004422F7">
        <w:rPr>
          <w:rFonts w:cstheme="minorHAnsi"/>
        </w:rPr>
        <w:t>1</w:t>
      </w:r>
      <w:r w:rsidR="00332B08" w:rsidRPr="004422F7">
        <w:rPr>
          <w:rFonts w:cstheme="minorHAnsi"/>
        </w:rPr>
        <w:t xml:space="preserve"> data points included) were </w:t>
      </w:r>
      <w:r w:rsidR="00007FB7" w:rsidRPr="004422F7">
        <w:rPr>
          <w:rFonts w:cstheme="minorHAnsi"/>
        </w:rPr>
        <w:t>examinations</w:t>
      </w:r>
      <w:r w:rsidR="00332B08" w:rsidRPr="004422F7">
        <w:rPr>
          <w:rFonts w:cstheme="minorHAnsi"/>
        </w:rPr>
        <w:t xml:space="preserve"> of clinical research</w:t>
      </w:r>
      <w:r w:rsidR="00007FB7" w:rsidRPr="004422F7">
        <w:rPr>
          <w:rFonts w:cstheme="minorHAnsi"/>
        </w:rPr>
        <w:t xml:space="preserve"> (e.g., </w:t>
      </w:r>
      <w:r w:rsidR="00C90EBB" w:rsidRPr="004422F7">
        <w:rPr>
          <w:rFonts w:cstheme="minorHAnsi"/>
        </w:rPr>
        <w:t>examinations of clinical randomized controlled trials of psychological therapies</w:t>
      </w:r>
      <w:r w:rsidR="00007FB7" w:rsidRPr="004422F7">
        <w:rPr>
          <w:rFonts w:cstheme="minorHAnsi"/>
        </w:rPr>
        <w:t>)</w:t>
      </w:r>
      <w:r w:rsidR="00332B08" w:rsidRPr="004422F7">
        <w:rPr>
          <w:rFonts w:cstheme="minorHAnsi"/>
        </w:rPr>
        <w:t xml:space="preserve">, </w:t>
      </w:r>
      <w:r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627F0B90" w:rsidR="00D70951" w:rsidRPr="004422F7" w:rsidRDefault="00D70951" w:rsidP="009307E1">
      <w:pPr>
        <w:spacing w:line="360" w:lineRule="auto"/>
        <w:ind w:firstLine="720"/>
        <w:rPr>
          <w:rFonts w:cstheme="minorHAnsi"/>
        </w:rPr>
      </w:pPr>
      <w:r w:rsidRPr="004422F7">
        <w:rPr>
          <w:rFonts w:cstheme="minorHAnsi"/>
        </w:rPr>
        <w:t>T</w:t>
      </w:r>
      <w:r w:rsidR="00D933BC">
        <w:rPr>
          <w:rFonts w:cstheme="minorHAnsi"/>
        </w:rPr>
        <w:t xml:space="preserve">he multilevel </w:t>
      </w:r>
      <w:r w:rsidRPr="004422F7">
        <w:rPr>
          <w:rFonts w:cstheme="minorHAnsi"/>
        </w:rPr>
        <w:t>meta-</w:t>
      </w:r>
      <w:r w:rsidR="00D933BC">
        <w:rPr>
          <w:rFonts w:cstheme="minorHAnsi"/>
        </w:rPr>
        <w:t xml:space="preserve">regression of the proportion of studies which report a power analysis suggests that </w:t>
      </w:r>
      <w:r w:rsidRPr="004422F7">
        <w:rPr>
          <w:rFonts w:cstheme="minorHAnsi"/>
        </w:rPr>
        <w:t xml:space="preserve">a very low proportion of psychology research reports a power analysis, with </w:t>
      </w:r>
      <w:proofErr w:type="gramStart"/>
      <w:r w:rsidRPr="004422F7">
        <w:rPr>
          <w:rFonts w:cstheme="minorHAnsi"/>
        </w:rPr>
        <w:t>a</w:t>
      </w:r>
      <w:r w:rsidR="00D933BC">
        <w:rPr>
          <w:rFonts w:cstheme="minorHAnsi"/>
        </w:rPr>
        <w:t>n</w:t>
      </w:r>
      <w:r w:rsidRPr="004422F7">
        <w:rPr>
          <w:rFonts w:cstheme="minorHAnsi"/>
        </w:rPr>
        <w:t xml:space="preserve"> </w:t>
      </w:r>
      <w:r w:rsidR="009307E1">
        <w:rPr>
          <w:rFonts w:cstheme="minorHAnsi"/>
        </w:rPr>
        <w:t>the</w:t>
      </w:r>
      <w:proofErr w:type="gramEnd"/>
      <w:r w:rsidR="009307E1">
        <w:rPr>
          <w:rFonts w:cstheme="minorHAnsi"/>
        </w:rPr>
        <w:t xml:space="preserve"> estimated proportion of </w:t>
      </w:r>
      <w:r w:rsidR="000032C6">
        <w:rPr>
          <w:rFonts w:cstheme="minorHAnsi"/>
        </w:rPr>
        <w:t>researchers</w:t>
      </w:r>
      <w:r w:rsidR="009307E1">
        <w:rPr>
          <w:rFonts w:cstheme="minorHAnsi"/>
        </w:rPr>
        <w:t xml:space="preserve"> reporting a power analysis at the mean year included in this period being </w:t>
      </w:r>
      <w:r w:rsidRPr="004422F7">
        <w:rPr>
          <w:rFonts w:cstheme="minorHAnsi"/>
        </w:rPr>
        <w:t>2.</w:t>
      </w:r>
      <w:r w:rsidR="00D933BC">
        <w:rPr>
          <w:rFonts w:cstheme="minorHAnsi"/>
        </w:rPr>
        <w:t>8</w:t>
      </w:r>
      <w:r w:rsidRPr="004422F7">
        <w:rPr>
          <w:rFonts w:cstheme="minorHAnsi"/>
        </w:rPr>
        <w:t>%, 95% CIs [1.2%, 4.</w:t>
      </w:r>
      <w:r w:rsidR="00D933BC">
        <w:rPr>
          <w:rFonts w:cstheme="minorHAnsi"/>
        </w:rPr>
        <w:t>8</w:t>
      </w:r>
      <w:r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Pr="004422F7">
        <w:rPr>
          <w:rFonts w:cstheme="minorHAnsi"/>
        </w:rPr>
        <w:t xml:space="preserve">See </w:t>
      </w:r>
      <w:r w:rsidRPr="004422F7">
        <w:rPr>
          <w:rFonts w:cstheme="minorHAnsi"/>
          <w:i/>
        </w:rPr>
        <w:t>Figure [Secondary meta-analysis with exclusions]</w:t>
      </w:r>
      <w:r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36D0D395"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estimated proportion of studies reporting a PA</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4ED45E26" w:rsidR="00B9730A" w:rsidRDefault="00EC78CB" w:rsidP="00B9730A">
      <w:pPr>
        <w:spacing w:line="360" w:lineRule="auto"/>
        <w:ind w:firstLine="720"/>
        <w:rPr>
          <w:rFonts w:cstheme="minorHAnsi"/>
        </w:rPr>
      </w:pPr>
      <w:r>
        <w:rPr>
          <w:rStyle w:val="CommentReference"/>
          <w:rFonts w:cstheme="minorHAnsi"/>
          <w:sz w:val="24"/>
          <w:szCs w:val="24"/>
        </w:rPr>
        <w:t>Assuming that effect sizes under study in psychology research have not increased, 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Statistical power analysis </w:t>
      </w:r>
      <w:r w:rsidR="0076241B">
        <w:rPr>
          <w:rStyle w:val="CommentReference"/>
          <w:rFonts w:cstheme="minorHAnsi"/>
          <w:sz w:val="24"/>
          <w:szCs w:val="24"/>
        </w:rPr>
        <w:t xml:space="preserve">reporting </w:t>
      </w:r>
      <w:r w:rsidR="000032C6">
        <w:rPr>
          <w:rStyle w:val="CommentReference"/>
          <w:rFonts w:cstheme="minorHAnsi"/>
          <w:sz w:val="24"/>
          <w:szCs w:val="24"/>
        </w:rPr>
        <w:t xml:space="preserve">appears to </w:t>
      </w:r>
      <w:r w:rsidR="009E4CB0">
        <w:rPr>
          <w:rStyle w:val="CommentReference"/>
          <w:rFonts w:cstheme="minorHAnsi"/>
          <w:sz w:val="24"/>
          <w:szCs w:val="24"/>
        </w:rPr>
        <w:t>be</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 xml:space="preserve">. </w:t>
      </w:r>
    </w:p>
    <w:p w14:paraId="6D960C4C" w14:textId="673BF7E2"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in </w:t>
      </w:r>
      <w:r w:rsidR="00C7024C">
        <w:rPr>
          <w:rStyle w:val="CommentReference"/>
          <w:color w:val="000000" w:themeColor="text1"/>
          <w:sz w:val="24"/>
          <w:szCs w:val="24"/>
          <w:lang w:val="en-AU"/>
        </w:rPr>
        <w:t>as much as</w:t>
      </w:r>
      <w:r>
        <w:rPr>
          <w:rStyle w:val="CommentReference"/>
          <w:color w:val="000000" w:themeColor="text1"/>
          <w:sz w:val="24"/>
          <w:szCs w:val="24"/>
          <w:lang w:val="en-AU"/>
        </w:rPr>
        <w:t xml:space="preserve"> 40% </w:t>
      </w:r>
      <w:r w:rsidR="006A596A">
        <w:rPr>
          <w:rStyle w:val="CommentReference"/>
          <w:color w:val="000000" w:themeColor="text1"/>
          <w:sz w:val="24"/>
          <w:szCs w:val="24"/>
          <w:lang w:val="en-AU"/>
        </w:rPr>
        <w:t xml:space="preserve">of occasions,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 fact</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CC6847">
        <w:rPr>
          <w:rStyle w:val="CommentReference"/>
          <w:color w:val="000000" w:themeColor="text1"/>
          <w:sz w:val="24"/>
          <w:szCs w:val="24"/>
          <w:lang w:val="en-AU"/>
        </w:rPr>
        <w:t xml:space="preserve">goes 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xml:space="preserve">, again 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A73715">
        <w:rPr>
          <w:rStyle w:val="CommentReference"/>
          <w:color w:val="000000" w:themeColor="text1"/>
          <w:sz w:val="24"/>
          <w:szCs w:val="24"/>
          <w:lang w:val="en-AU"/>
        </w:rPr>
        <w:t xml:space="preserve"> deflating the amount of unreported findings</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 xml:space="preserve">or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5F12969F" w14:textId="77777777" w:rsidR="00936F6D" w:rsidRDefault="00595E3D" w:rsidP="00936F6D">
      <w:pPr>
        <w:spacing w:line="360" w:lineRule="auto"/>
        <w:ind w:firstLine="720"/>
        <w:rPr>
          <w:color w:val="000000" w:themeColor="text1"/>
          <w:lang w:val="en-AU"/>
        </w:rPr>
      </w:pPr>
      <w:r>
        <w:rPr>
          <w:rStyle w:val="CommentReference"/>
          <w:rFonts w:cstheme="minorHAnsi"/>
          <w:sz w:val="24"/>
          <w:szCs w:val="24"/>
        </w:rPr>
        <w:t xml:space="preserve">In order to prevent the performance of underpowered research, researchers should consider the likely power of their planned analyses during the planning of research. Given the evidence that our intuitions are very poor about the likely power and precision of research </w: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 </w:instrTex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EN.CITE.DATA </w:instrText>
      </w:r>
      <w:r>
        <w:rPr>
          <w:color w:val="000000" w:themeColor="text1"/>
          <w:lang w:val="en-AU"/>
        </w:rPr>
      </w:r>
      <w:r>
        <w:rPr>
          <w:color w:val="000000" w:themeColor="text1"/>
          <w:lang w:val="en-AU"/>
        </w:rPr>
        <w:fldChar w:fldCharType="end"/>
      </w:r>
      <w:r>
        <w:rPr>
          <w:color w:val="000000" w:themeColor="text1"/>
          <w:lang w:val="en-AU"/>
        </w:rPr>
      </w:r>
      <w:r>
        <w:rPr>
          <w:color w:val="000000" w:themeColor="text1"/>
          <w:lang w:val="en-AU"/>
        </w:rPr>
        <w:fldChar w:fldCharType="separate"/>
      </w:r>
      <w:r>
        <w:rPr>
          <w:noProof/>
          <w:color w:val="000000" w:themeColor="text1"/>
          <w:lang w:val="en-AU"/>
        </w:rPr>
        <w:t>(Marjan Bakker, Hartgerink, Wicherts, &amp; van der Maas, 2016; Obrecht, Chapman, &amp; Gelman, 2007)</w:t>
      </w:r>
      <w:r>
        <w:rPr>
          <w:color w:val="000000" w:themeColor="text1"/>
          <w:lang w:val="en-AU"/>
        </w:rPr>
        <w:fldChar w:fldCharType="end"/>
      </w:r>
      <w:r>
        <w:rPr>
          <w:rStyle w:val="CommentReference"/>
          <w:rFonts w:cstheme="minorHAnsi"/>
          <w:sz w:val="24"/>
          <w:szCs w:val="24"/>
        </w:rPr>
        <w:t>, formal power analysis, analyses to ensure a good probability of obtaining sufficiently narrow confidence intervals, or sufficiently convincing evidence via Bayes factors will be necessary for researchers to have accurate intuitions about the likely outcomes of their analyses under plausible alternative hypothesis.</w:t>
      </w:r>
      <w:r w:rsidRPr="00D70B41">
        <w:rPr>
          <w:color w:val="000000" w:themeColor="text1"/>
        </w:rPr>
        <w:t xml:space="preserve"> </w:t>
      </w:r>
      <w:r>
        <w:rPr>
          <w:color w:val="000000" w:themeColor="text1"/>
        </w:rPr>
        <w:t xml:space="preserve">A variety of research planning </w:t>
      </w:r>
      <w:r>
        <w:rPr>
          <w:color w:val="000000" w:themeColor="text1"/>
        </w:rPr>
        <w:lastRenderedPageBreak/>
        <w:t xml:space="preserve">packages and programs are freely available and should enable researchers to plan for relatively simple analyses </w:t>
      </w:r>
      <w:r>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 </w:instrText>
      </w:r>
      <w:r w:rsidR="00030554">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EN.CITE.DATA </w:instrText>
      </w:r>
      <w:r w:rsidR="00030554">
        <w:rPr>
          <w:color w:val="000000" w:themeColor="text1"/>
          <w:lang w:val="en-AU"/>
        </w:rPr>
      </w:r>
      <w:r w:rsidR="00030554">
        <w:rPr>
          <w:color w:val="000000" w:themeColor="text1"/>
          <w:lang w:val="en-AU"/>
        </w:rPr>
        <w:fldChar w:fldCharType="end"/>
      </w:r>
      <w:r>
        <w:rPr>
          <w:color w:val="000000" w:themeColor="text1"/>
          <w:lang w:val="en-AU"/>
        </w:rPr>
      </w:r>
      <w:r>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Pr>
          <w:color w:val="000000" w:themeColor="text1"/>
          <w:lang w:val="en-AU"/>
        </w:rPr>
        <w:fldChar w:fldCharType="end"/>
      </w:r>
      <w:r>
        <w:rPr>
          <w:color w:val="000000" w:themeColor="text1"/>
          <w:lang w:val="en-AU"/>
        </w:rPr>
        <w:t xml:space="preserve">, although if more complex analyses are planned collaboration with a statistical consultant may be necessary </w:t>
      </w:r>
      <w:r>
        <w:rPr>
          <w:color w:val="000000" w:themeColor="text1"/>
          <w:lang w:val="en-AU"/>
        </w:rPr>
        <w:fldChar w:fldCharType="begin"/>
      </w:r>
      <w:r>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Pr>
          <w:color w:val="000000" w:themeColor="text1"/>
          <w:lang w:val="en-AU"/>
        </w:rPr>
        <w:fldChar w:fldCharType="separate"/>
      </w:r>
      <w:r>
        <w:rPr>
          <w:noProof/>
          <w:color w:val="000000" w:themeColor="text1"/>
          <w:lang w:val="en-AU"/>
        </w:rPr>
        <w:t>(Van Meter &amp; Charnigo, 2014)</w:t>
      </w:r>
      <w:r>
        <w:rPr>
          <w:color w:val="000000" w:themeColor="text1"/>
          <w:lang w:val="en-AU"/>
        </w:rPr>
        <w:fldChar w:fldCharType="end"/>
      </w:r>
      <w:r>
        <w:rPr>
          <w:color w:val="000000" w:themeColor="text1"/>
          <w:lang w:val="en-AU"/>
        </w:rPr>
        <w:t xml:space="preserve">. </w:t>
      </w:r>
    </w:p>
    <w:p w14:paraId="000F9167" w14:textId="740E665B"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Editors and reviewers 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Although Power analyses are not easily interpretable after statistical analysis has been performed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(Wagenmakers et al., 2015)</w:t>
      </w:r>
      <w:r>
        <w:rPr>
          <w:rStyle w:val="CommentReference"/>
          <w:rFonts w:cstheme="minorHAnsi"/>
          <w:sz w:val="24"/>
          <w:szCs w:val="24"/>
        </w:rPr>
        <w:fldChar w:fldCharType="end"/>
      </w:r>
      <w:r>
        <w:rPr>
          <w:rStyle w:val="CommentReference"/>
          <w:rFonts w:cstheme="minorHAnsi"/>
          <w:sz w:val="24"/>
          <w:szCs w:val="24"/>
        </w:rPr>
        <w:t xml:space="preserve">, requiring the truthful justification of sample sizes as a routine part of research forces researchers to think about these issues, and actively acknowledge that other constraints lead to sample size planning decisions when that is the case. </w:t>
      </w:r>
    </w:p>
    <w:p w14:paraId="0696CE49" w14:textId="737ED04A" w:rsidR="00030554" w:rsidRPr="00CD0F90"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 xml:space="preserve">is advice, 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that reviewers should require their publication</w:t>
      </w:r>
      <w:r w:rsidR="00595E3D">
        <w:rPr>
          <w:rStyle w:val="CommentReference"/>
          <w:color w:val="000000" w:themeColor="text1"/>
          <w:sz w:val="24"/>
          <w:szCs w:val="24"/>
          <w:lang w:val="en-AU"/>
        </w:rPr>
        <w:t xml:space="preserve">, </w:t>
      </w:r>
      <w:r w:rsidR="00936F6D">
        <w:rPr>
          <w:rStyle w:val="CommentReference"/>
          <w:color w:val="000000" w:themeColor="text1"/>
          <w:sz w:val="24"/>
          <w:szCs w:val="24"/>
          <w:lang w:val="en-AU"/>
        </w:rPr>
        <w:t>are</w:t>
      </w:r>
      <w:r w:rsidR="00595E3D">
        <w:rPr>
          <w:rStyle w:val="CommentReference"/>
          <w:color w:val="000000" w:themeColor="text1"/>
          <w:sz w:val="24"/>
          <w:szCs w:val="24"/>
          <w:lang w:val="en-AU"/>
        </w:rPr>
        <w:t xml:space="preserve"> the suggested remedy in almost all of the papers included in this review. </w:t>
      </w:r>
      <w:r w:rsidR="005A2C2E">
        <w:rPr>
          <w:rStyle w:val="CommentReference"/>
          <w:color w:val="000000" w:themeColor="text1"/>
          <w:sz w:val="24"/>
          <w:szCs w:val="24"/>
          <w:lang w:val="en-AU"/>
        </w:rPr>
        <w:t>Given</w:t>
      </w:r>
      <w:r w:rsidR="00936F6D">
        <w:rPr>
          <w:rStyle w:val="CommentReference"/>
          <w:color w:val="000000" w:themeColor="text1"/>
          <w:sz w:val="24"/>
          <w:szCs w:val="24"/>
          <w:lang w:val="en-AU"/>
        </w:rPr>
        <w:t xml:space="preserve"> that</w:t>
      </w:r>
      <w:r>
        <w:rPr>
          <w:rStyle w:val="CommentReference"/>
          <w:color w:val="000000" w:themeColor="text1"/>
          <w:sz w:val="24"/>
          <w:szCs w:val="24"/>
          <w:lang w:val="en-AU"/>
        </w:rPr>
        <w:t xml:space="preserve"> these suggestions have clearly failed to have a</w:t>
      </w:r>
      <w:r w:rsidR="00595E3D">
        <w:rPr>
          <w:rStyle w:val="CommentReference"/>
          <w:color w:val="000000" w:themeColor="text1"/>
          <w:sz w:val="24"/>
          <w:szCs w:val="24"/>
          <w:lang w:val="en-AU"/>
        </w:rPr>
        <w:t>n</w:t>
      </w:r>
      <w:r w:rsidR="009E4CB0">
        <w:rPr>
          <w:rStyle w:val="CommentReference"/>
          <w:color w:val="000000" w:themeColor="text1"/>
          <w:sz w:val="24"/>
          <w:szCs w:val="24"/>
          <w:lang w:val="en-AU"/>
        </w:rPr>
        <w:t>y</w:t>
      </w:r>
      <w:r>
        <w:rPr>
          <w:rStyle w:val="CommentReference"/>
          <w:color w:val="000000" w:themeColor="text1"/>
          <w:sz w:val="24"/>
          <w:szCs w:val="24"/>
          <w:lang w:val="en-AU"/>
        </w:rPr>
        <w:t xml:space="preserve"> impact on the practices of working scientists</w:t>
      </w:r>
      <w:r w:rsidR="005A2C2E">
        <w:rPr>
          <w:rStyle w:val="CommentReference"/>
          <w:color w:val="000000" w:themeColor="text1"/>
          <w:sz w:val="24"/>
          <w:szCs w:val="24"/>
          <w:lang w:val="en-AU"/>
        </w:rPr>
        <w:t>, I am not optimistic that anything will change in the near future</w:t>
      </w:r>
      <w:r>
        <w:rPr>
          <w:rStyle w:val="CommentReference"/>
          <w:color w:val="000000" w:themeColor="text1"/>
          <w:sz w:val="24"/>
          <w:szCs w:val="24"/>
          <w:lang w:val="en-AU"/>
        </w:rPr>
        <w:t xml:space="preserve">. </w:t>
      </w:r>
      <w:r w:rsidR="00030554">
        <w:rPr>
          <w:rStyle w:val="CommentReference"/>
          <w:color w:val="000000" w:themeColor="text1"/>
          <w:sz w:val="24"/>
          <w:szCs w:val="24"/>
          <w:lang w:val="en-AU"/>
        </w:rPr>
        <w:t xml:space="preserve">For research consumers this means that we must </w:t>
      </w:r>
      <w:r>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Pr>
          <w:rStyle w:val="CommentReference"/>
          <w:color w:val="000000" w:themeColor="text1"/>
          <w:sz w:val="24"/>
          <w:szCs w:val="24"/>
          <w:lang w:val="en-AU"/>
        </w:rPr>
        <w:t>effect size estimates</w:t>
      </w:r>
      <w:r w:rsidR="009E4CB0">
        <w:rPr>
          <w:rStyle w:val="CommentReference"/>
          <w:color w:val="000000" w:themeColor="text1"/>
          <w:sz w:val="24"/>
          <w:szCs w:val="24"/>
          <w:lang w:val="en-AU"/>
        </w:rPr>
        <w:t>,</w:t>
      </w:r>
      <w:r w:rsidR="005A2C2E">
        <w:rPr>
          <w:rStyle w:val="CommentReference"/>
          <w:color w:val="000000" w:themeColor="text1"/>
          <w:sz w:val="24"/>
          <w:szCs w:val="24"/>
          <w:lang w:val="en-AU"/>
        </w:rPr>
        <w:t xml:space="preserve"> does not </w:t>
      </w:r>
      <w:r>
        <w:rPr>
          <w:rStyle w:val="CommentReference"/>
          <w:color w:val="000000" w:themeColor="text1"/>
          <w:sz w:val="24"/>
          <w:szCs w:val="24"/>
          <w:lang w:val="en-AU"/>
        </w:rPr>
        <w:t>have a constrained false positive error rate</w:t>
      </w:r>
      <w:r w:rsidR="005A2C2E">
        <w:rPr>
          <w:rStyle w:val="CommentReference"/>
          <w:color w:val="000000" w:themeColor="text1"/>
          <w:sz w:val="24"/>
          <w:szCs w:val="24"/>
          <w:lang w:val="en-AU"/>
        </w:rPr>
        <w:t xml:space="preserve">, and should be understood as </w:t>
      </w:r>
      <w:r>
        <w:rPr>
          <w:rStyle w:val="CommentReference"/>
          <w:color w:val="000000" w:themeColor="text1"/>
          <w:sz w:val="24"/>
          <w:szCs w:val="24"/>
          <w:lang w:val="en-AU"/>
        </w:rPr>
        <w:t>inherently exploratory</w:t>
      </w:r>
      <w:r w:rsidR="005A2C2E">
        <w:rPr>
          <w:rStyle w:val="CommentReference"/>
          <w:color w:val="000000" w:themeColor="text1"/>
          <w:sz w:val="24"/>
          <w:szCs w:val="24"/>
          <w:lang w:val="en-AU"/>
        </w:rPr>
        <w:t xml:space="preserve">. </w:t>
      </w:r>
      <w:r>
        <w:rPr>
          <w:rStyle w:val="CommentReference"/>
          <w:color w:val="000000" w:themeColor="text1"/>
          <w:sz w:val="24"/>
          <w:szCs w:val="24"/>
          <w:lang w:val="en-AU"/>
        </w:rPr>
        <w:t xml:space="preserve">This means that we should </w:t>
      </w:r>
      <w:r w:rsidR="00030554">
        <w:rPr>
          <w:rStyle w:val="CommentReference"/>
          <w:color w:val="000000" w:themeColor="text1"/>
          <w:sz w:val="24"/>
          <w:szCs w:val="24"/>
          <w:lang w:val="en-AU"/>
        </w:rPr>
        <w:t xml:space="preserve">avoid focusing on </w:t>
      </w:r>
      <w:r>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sidR="00030554">
        <w:rPr>
          <w:rStyle w:val="CommentReference"/>
          <w:color w:val="000000" w:themeColor="text1"/>
          <w:sz w:val="24"/>
          <w:szCs w:val="24"/>
          <w:lang w:val="en-AU"/>
        </w:rPr>
        <w:t xml:space="preserve">. Bayesian statistical approaches support these ends </w:t>
      </w:r>
      <w:r w:rsidR="00030554">
        <w:rPr>
          <w:rStyle w:val="CommentReference"/>
          <w:color w:val="000000" w:themeColor="text1"/>
          <w:sz w:val="24"/>
          <w:szCs w:val="24"/>
          <w:lang w:val="en-AU"/>
        </w:rPr>
        <w:fldChar w:fldCharType="begin"/>
      </w:r>
      <w:r w:rsidR="00030554">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00030554">
        <w:rPr>
          <w:rStyle w:val="CommentReference"/>
          <w:color w:val="000000" w:themeColor="text1"/>
          <w:sz w:val="24"/>
          <w:szCs w:val="24"/>
          <w:lang w:val="en-AU"/>
        </w:rPr>
        <w:fldChar w:fldCharType="separate"/>
      </w:r>
      <w:r w:rsidR="00030554">
        <w:rPr>
          <w:rStyle w:val="CommentReference"/>
          <w:noProof/>
          <w:color w:val="000000" w:themeColor="text1"/>
          <w:sz w:val="24"/>
          <w:szCs w:val="24"/>
          <w:lang w:val="en-AU"/>
        </w:rPr>
        <w:t>(Wagenmakers et al., 2015)</w:t>
      </w:r>
      <w:r w:rsidR="00030554">
        <w:rPr>
          <w:rStyle w:val="CommentReference"/>
          <w:color w:val="000000" w:themeColor="text1"/>
          <w:sz w:val="24"/>
          <w:szCs w:val="24"/>
          <w:lang w:val="en-AU"/>
        </w:rPr>
        <w:fldChar w:fldCharType="end"/>
      </w:r>
      <w:r w:rsidR="00030554">
        <w:rPr>
          <w:rStyle w:val="CommentReference"/>
          <w:color w:val="000000" w:themeColor="text1"/>
          <w:sz w:val="24"/>
          <w:szCs w:val="24"/>
          <w:lang w:val="en-AU"/>
        </w:rPr>
        <w:t xml:space="preserve">, although establishing minimum benchmarks for </w:t>
      </w:r>
      <w:r w:rsidR="000161CF">
        <w:rPr>
          <w:rStyle w:val="CommentReference"/>
          <w:color w:val="000000" w:themeColor="text1"/>
          <w:sz w:val="24"/>
          <w:szCs w:val="24"/>
          <w:lang w:val="en-AU"/>
        </w:rPr>
        <w:t xml:space="preserve">publication (e.g., BF &gt; 3) </w:t>
      </w:r>
      <w:r w:rsidR="00030554">
        <w:rPr>
          <w:rStyle w:val="CommentReference"/>
          <w:color w:val="000000" w:themeColor="text1"/>
          <w:sz w:val="24"/>
          <w:szCs w:val="24"/>
          <w:lang w:val="en-AU"/>
        </w:rPr>
        <w:t>seems likely to lead to similarly problematic reporting habits in a different statistica</w:t>
      </w:r>
      <w:bookmarkStart w:id="6" w:name="_GoBack"/>
      <w:bookmarkEnd w:id="6"/>
      <w:r w:rsidR="00030554">
        <w:rPr>
          <w:rStyle w:val="CommentReference"/>
          <w:color w:val="000000" w:themeColor="text1"/>
          <w:sz w:val="24"/>
          <w:szCs w:val="24"/>
          <w:lang w:val="en-AU"/>
        </w:rPr>
        <w:t>l approach.</w:t>
      </w:r>
    </w:p>
    <w:p w14:paraId="18B2B9F1" w14:textId="2354121A" w:rsidR="00A6271B" w:rsidRDefault="00030554" w:rsidP="00030554">
      <w:pPr>
        <w:spacing w:line="360" w:lineRule="auto"/>
        <w:ind w:firstLine="720"/>
        <w:rPr>
          <w:rStyle w:val="CommentReference"/>
          <w:rFonts w:cstheme="minorHAnsi"/>
          <w:sz w:val="24"/>
          <w:szCs w:val="24"/>
        </w:rPr>
      </w:pPr>
      <w:r>
        <w:rPr>
          <w:rStyle w:val="CommentReference"/>
          <w:rFonts w:cstheme="minorHAnsi"/>
          <w:sz w:val="24"/>
          <w:szCs w:val="24"/>
        </w:rPr>
        <w:t>Despite the bleak outlook for the field overall</w:t>
      </w:r>
      <w:r w:rsidR="00595E3D">
        <w:rPr>
          <w:rStyle w:val="CommentReference"/>
          <w:rFonts w:cstheme="minorHAnsi"/>
          <w:sz w:val="24"/>
          <w:szCs w:val="24"/>
        </w:rPr>
        <w:t xml:space="preserve">, individual researchers who want to do good research that will be publishable (i.e., the great majority of us) have a strong incentive </w:t>
      </w:r>
      <w:r w:rsidR="00595E3D">
        <w:rPr>
          <w:rStyle w:val="CommentReference"/>
          <w:rFonts w:cstheme="minorHAnsi"/>
          <w:sz w:val="24"/>
          <w:szCs w:val="24"/>
        </w:rPr>
        <w:lastRenderedPageBreak/>
        <w:t>to plan our research with a mind to the statistical power, precision or probability of finding strong evidence</w:t>
      </w:r>
      <w:r>
        <w:rPr>
          <w:rStyle w:val="CommentReference"/>
          <w:rFonts w:cstheme="minorHAnsi"/>
          <w:sz w:val="24"/>
          <w:szCs w:val="24"/>
        </w:rPr>
        <w:t xml:space="preserve"> </w: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r>
      <w:r>
        <w:rPr>
          <w:rStyle w:val="CommentReference"/>
          <w:rFonts w:cstheme="minorHAnsi"/>
          <w:sz w:val="24"/>
          <w:szCs w:val="24"/>
        </w:rPr>
        <w:fldChar w:fldCharType="separate"/>
      </w:r>
      <w:r>
        <w:rPr>
          <w:rStyle w:val="CommentReference"/>
          <w:rFonts w:cstheme="minorHAnsi"/>
          <w:noProof/>
          <w:sz w:val="24"/>
          <w:szCs w:val="24"/>
        </w:rPr>
        <w:t>(Maxwell, Kelley, &amp; Rausch, 2007; Schönbrodt &amp; Wagenmakers, 2017)</w:t>
      </w:r>
      <w:r>
        <w:rPr>
          <w:rStyle w:val="CommentReference"/>
          <w:rFonts w:cstheme="minorHAnsi"/>
          <w:sz w:val="24"/>
          <w:szCs w:val="24"/>
        </w:rPr>
        <w:fldChar w:fldCharType="end"/>
      </w:r>
      <w:r w:rsidR="00595E3D">
        <w:rPr>
          <w:rStyle w:val="CommentReference"/>
          <w:rFonts w:cstheme="minorHAnsi"/>
          <w:sz w:val="24"/>
          <w:szCs w:val="24"/>
        </w:rPr>
        <w:t>. In cases where it is not possible to control the sample size that is available for analysis (e.g., like the current study), preregistering a data-analysis strategy</w:t>
      </w:r>
      <w:r w:rsidR="00A6271B">
        <w:rPr>
          <w:rStyle w:val="CommentReference"/>
          <w:rFonts w:cstheme="minorHAnsi"/>
          <w:sz w:val="24"/>
          <w:szCs w:val="24"/>
        </w:rPr>
        <w:t xml:space="preserve"> and carefully assessing whether our conclusions rely on our data-</w:t>
      </w:r>
      <w:r w:rsidR="00936F6D">
        <w:rPr>
          <w:rStyle w:val="CommentReference"/>
          <w:rFonts w:cstheme="minorHAnsi"/>
          <w:sz w:val="24"/>
          <w:szCs w:val="24"/>
        </w:rPr>
        <w:t>dependent</w:t>
      </w:r>
      <w:r w:rsidR="00A6271B">
        <w:rPr>
          <w:rStyle w:val="CommentReference"/>
          <w:rFonts w:cstheme="minorHAnsi"/>
          <w:sz w:val="24"/>
          <w:szCs w:val="24"/>
        </w:rPr>
        <w:t xml:space="preserve"> decisions </w:t>
      </w:r>
      <w:r w:rsidR="00595E3D">
        <w:rPr>
          <w:rStyle w:val="CommentReference"/>
          <w:rFonts w:cstheme="minorHAnsi"/>
          <w:sz w:val="24"/>
          <w:szCs w:val="24"/>
        </w:rPr>
        <w:t>becomes even more important</w:t>
      </w:r>
      <w:r w:rsidR="00A6271B">
        <w:rPr>
          <w:rStyle w:val="CommentReference"/>
          <w:rFonts w:cstheme="minorHAnsi"/>
          <w:sz w:val="24"/>
          <w:szCs w:val="24"/>
        </w:rPr>
        <w:t>.</w:t>
      </w:r>
      <w:r w:rsidR="00595E3D">
        <w:rPr>
          <w:rStyle w:val="CommentReference"/>
          <w:rFonts w:cstheme="minorHAnsi"/>
          <w:sz w:val="24"/>
          <w:szCs w:val="24"/>
        </w:rPr>
        <w:t xml:space="preserve"> </w:t>
      </w:r>
      <w:r w:rsidR="00A6271B">
        <w:rPr>
          <w:rStyle w:val="CommentReference"/>
          <w:rFonts w:cstheme="minorHAnsi"/>
          <w:sz w:val="24"/>
          <w:szCs w:val="24"/>
        </w:rPr>
        <w:t>T</w:t>
      </w:r>
      <w:r w:rsidR="00595E3D">
        <w:rPr>
          <w:rStyle w:val="CommentReference"/>
          <w:rFonts w:cstheme="minorHAnsi"/>
          <w:sz w:val="24"/>
          <w:szCs w:val="24"/>
        </w:rPr>
        <w:t xml:space="preserve">here are strong incentives for us to, consciously or otherwise, </w:t>
      </w:r>
      <w:r w:rsidR="00595E3D" w:rsidRPr="009E4CB0">
        <w:rPr>
          <w:rStyle w:val="CommentReference"/>
          <w:rFonts w:cstheme="minorHAnsi"/>
          <w:i/>
          <w:sz w:val="24"/>
          <w:szCs w:val="24"/>
        </w:rPr>
        <w:t>p</w:t>
      </w:r>
      <w:r w:rsidR="00595E3D">
        <w:rPr>
          <w:rStyle w:val="CommentReference"/>
          <w:rFonts w:cstheme="minorHAnsi"/>
          <w:sz w:val="24"/>
          <w:szCs w:val="24"/>
        </w:rPr>
        <w:t>-hack or HARK our way to more easily publishable findings</w:t>
      </w:r>
      <w:r w:rsidR="00A6271B">
        <w:rPr>
          <w:rStyle w:val="CommentReference"/>
          <w:rFonts w:cstheme="minorHAnsi"/>
          <w:sz w:val="24"/>
          <w:szCs w:val="24"/>
        </w:rPr>
        <w:t xml:space="preserve"> </w:t>
      </w:r>
      <w:r w:rsidR="00A6271B">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 </w:instrText>
      </w:r>
      <w:r w:rsidR="00157F7E">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EN.CITE.DATA </w:instrText>
      </w:r>
      <w:r w:rsidR="00157F7E">
        <w:rPr>
          <w:rStyle w:val="CommentReference"/>
          <w:rFonts w:cstheme="minorHAnsi"/>
          <w:sz w:val="24"/>
          <w:szCs w:val="24"/>
        </w:rPr>
      </w:r>
      <w:r w:rsidR="00157F7E">
        <w:rPr>
          <w:rStyle w:val="CommentReference"/>
          <w:rFonts w:cstheme="minorHAnsi"/>
          <w:sz w:val="24"/>
          <w:szCs w:val="24"/>
        </w:rPr>
        <w:fldChar w:fldCharType="end"/>
      </w:r>
      <w:r w:rsidR="00A6271B">
        <w:rPr>
          <w:rStyle w:val="CommentReference"/>
          <w:rFonts w:cstheme="minorHAnsi"/>
          <w:sz w:val="24"/>
          <w:szCs w:val="24"/>
        </w:rPr>
      </w:r>
      <w:r w:rsidR="00A6271B">
        <w:rPr>
          <w:rStyle w:val="CommentReference"/>
          <w:rFonts w:cstheme="minorHAnsi"/>
          <w:sz w:val="24"/>
          <w:szCs w:val="24"/>
        </w:rPr>
        <w:fldChar w:fldCharType="separate"/>
      </w:r>
      <w:r w:rsidR="00157F7E">
        <w:rPr>
          <w:rStyle w:val="CommentReference"/>
          <w:rFonts w:cstheme="minorHAnsi"/>
          <w:noProof/>
          <w:sz w:val="24"/>
          <w:szCs w:val="24"/>
        </w:rPr>
        <w:t>(Fanelli, 2009; Fraser, Parker, Nakagawa, Barnett, &amp; Fidler, 2018; John, Loewenstein, &amp; Prelec, 2012; Kerr, 1998)</w:t>
      </w:r>
      <w:r w:rsidR="00A6271B">
        <w:rPr>
          <w:rStyle w:val="CommentReference"/>
          <w:rFonts w:cstheme="minorHAnsi"/>
          <w:sz w:val="24"/>
          <w:szCs w:val="24"/>
        </w:rPr>
        <w:fldChar w:fldCharType="end"/>
      </w:r>
      <w:r w:rsidR="00A6271B">
        <w:rPr>
          <w:rStyle w:val="CommentReference"/>
          <w:rFonts w:cstheme="minorHAnsi"/>
          <w:sz w:val="24"/>
          <w:szCs w:val="24"/>
        </w:rPr>
        <w:t xml:space="preserve">, and preregistration combined with careful sensitivity analyses provide tools to mitigate the possibility that we are using statistical tools to confirm our a priori hypotheses as opposed to </w:t>
      </w:r>
      <w:r w:rsidR="009E4BD0">
        <w:rPr>
          <w:rStyle w:val="CommentReference"/>
          <w:rFonts w:cstheme="minorHAnsi"/>
          <w:sz w:val="24"/>
          <w:szCs w:val="24"/>
        </w:rPr>
        <w:t xml:space="preserve">enabling rigorous tests </w:t>
      </w:r>
      <w:r w:rsidR="00A6271B">
        <w:rPr>
          <w:rStyle w:val="CommentReference"/>
          <w:rFonts w:cstheme="minorHAnsi"/>
          <w:sz w:val="24"/>
          <w:szCs w:val="24"/>
        </w:rPr>
        <w:t>of our theories.</w:t>
      </w:r>
    </w:p>
    <w:p w14:paraId="2A4E72FB" w14:textId="1DED4C1D"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 xml:space="preserve">Limitations: </w:t>
      </w:r>
    </w:p>
    <w:p w14:paraId="31017C31" w14:textId="015D1FF6" w:rsidR="00B30770" w:rsidRDefault="006C5797" w:rsidP="00976D4C">
      <w:pPr>
        <w:spacing w:line="360" w:lineRule="auto"/>
        <w:ind w:firstLine="720"/>
        <w:rPr>
          <w:rStyle w:val="CommentReference"/>
          <w:rFonts w:cstheme="minorHAnsi"/>
          <w:sz w:val="24"/>
          <w:szCs w:val="24"/>
        </w:rPr>
      </w:pPr>
      <w:r>
        <w:rPr>
          <w:rStyle w:val="CommentReference"/>
          <w:rFonts w:cstheme="minorHAnsi"/>
          <w:sz w:val="24"/>
          <w:szCs w:val="24"/>
        </w:rPr>
        <w:t>It</w:t>
      </w:r>
      <w:r w:rsidR="00DE71B2">
        <w:rPr>
          <w:rStyle w:val="CommentReference"/>
          <w:rFonts w:cstheme="minorHAnsi"/>
          <w:sz w:val="24"/>
          <w:szCs w:val="24"/>
        </w:rPr>
        <w:t xml:space="preserve"> would be unreasonable to assume that the included articles </w:t>
      </w:r>
      <w:r w:rsidR="0031236D">
        <w:rPr>
          <w:rStyle w:val="CommentReference"/>
          <w:rFonts w:cstheme="minorHAnsi"/>
          <w:sz w:val="24"/>
          <w:szCs w:val="24"/>
        </w:rPr>
        <w:t>provide a</w:t>
      </w:r>
      <w:r w:rsidR="00DE71B2">
        <w:rPr>
          <w:rStyle w:val="CommentReference"/>
          <w:rFonts w:cstheme="minorHAnsi"/>
          <w:sz w:val="24"/>
          <w:szCs w:val="24"/>
        </w:rPr>
        <w:t xml:space="preserve"> random </w:t>
      </w:r>
      <w:r w:rsidR="0031236D">
        <w:rPr>
          <w:rStyle w:val="CommentReference"/>
          <w:rFonts w:cstheme="minorHAnsi"/>
          <w:sz w:val="24"/>
          <w:szCs w:val="24"/>
        </w:rPr>
        <w:t>assessment</w:t>
      </w:r>
      <w:r w:rsidR="00DE71B2">
        <w:rPr>
          <w:rStyle w:val="CommentReference"/>
          <w:rFonts w:cstheme="minorHAnsi"/>
          <w:sz w:val="24"/>
          <w:szCs w:val="24"/>
        </w:rPr>
        <w:t xml:space="preserve"> of articles from the </w:t>
      </w:r>
      <w:r w:rsidR="0031236D">
        <w:rPr>
          <w:rStyle w:val="CommentReference"/>
          <w:rFonts w:cstheme="minorHAnsi"/>
          <w:sz w:val="24"/>
          <w:szCs w:val="24"/>
        </w:rPr>
        <w:t xml:space="preserve">psychological </w:t>
      </w:r>
      <w:r w:rsidR="00DE71B2">
        <w:rPr>
          <w:rStyle w:val="CommentReference"/>
          <w:rFonts w:cstheme="minorHAnsi"/>
          <w:sz w:val="24"/>
          <w:szCs w:val="24"/>
        </w:rPr>
        <w:t>research literature.</w:t>
      </w:r>
      <w:r w:rsidR="0031236D" w:rsidRPr="0031236D">
        <w:rPr>
          <w:rStyle w:val="CommentReference"/>
          <w:rFonts w:cstheme="minorHAnsi"/>
          <w:sz w:val="24"/>
          <w:szCs w:val="24"/>
        </w:rPr>
        <w:t xml:space="preserve"> </w:t>
      </w:r>
      <w:r w:rsidR="0031236D">
        <w:rPr>
          <w:rStyle w:val="CommentReference"/>
          <w:rFonts w:cstheme="minorHAnsi"/>
          <w:sz w:val="24"/>
          <w:szCs w:val="24"/>
        </w:rPr>
        <w:t xml:space="preserve">It is possible that </w:t>
      </w:r>
      <w:r w:rsidR="00B30770">
        <w:rPr>
          <w:rStyle w:val="CommentReference"/>
          <w:rFonts w:cstheme="minorHAnsi"/>
          <w:sz w:val="24"/>
          <w:szCs w:val="24"/>
        </w:rPr>
        <w:t>power surveys</w:t>
      </w:r>
      <w:r w:rsidR="0031236D">
        <w:rPr>
          <w:rStyle w:val="CommentReference"/>
          <w:rFonts w:cstheme="minorHAnsi"/>
          <w:sz w:val="24"/>
          <w:szCs w:val="24"/>
        </w:rPr>
        <w:t xml:space="preserve"> are only performed 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where as only the examined sections are. However, many of the </w:t>
      </w:r>
      <w:r w:rsidR="004D740A">
        <w:rPr>
          <w:rStyle w:val="CommentReference"/>
          <w:rFonts w:cstheme="minorHAnsi"/>
          <w:sz w:val="24"/>
          <w:szCs w:val="24"/>
        </w:rPr>
        <w:t>included samples</w:t>
      </w:r>
      <w:r w:rsidR="00341E02">
        <w:rPr>
          <w:rStyle w:val="CommentReference"/>
          <w:rFonts w:cstheme="minorHAnsi"/>
          <w:sz w:val="24"/>
          <w:szCs w:val="24"/>
        </w:rPr>
        <w:t xml:space="preserve"> either target convivence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350451">
        <w:rPr>
          <w:rStyle w:val="CommentReference"/>
          <w:rFonts w:cstheme="minorHAnsi"/>
          <w:sz w:val="24"/>
          <w:szCs w:val="24"/>
        </w:rPr>
        <w:t xml:space="preserve">, </w:t>
      </w:r>
      <w:r w:rsidR="00780F79">
        <w:rPr>
          <w:rStyle w:val="CommentReference"/>
          <w:rFonts w:cstheme="minorHAnsi"/>
          <w:sz w:val="24"/>
          <w:szCs w:val="24"/>
        </w:rPr>
        <w:t xml:space="preserve">are </w:t>
      </w:r>
      <w:r w:rsidR="00350451">
        <w:rPr>
          <w:rStyle w:val="CommentReference"/>
          <w:rFonts w:cstheme="minorHAnsi"/>
          <w:sz w:val="24"/>
          <w:szCs w:val="24"/>
        </w:rPr>
        <w:t xml:space="preserve">explicitly 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350451">
        <w:rPr>
          <w:rStyle w:val="CommentReference"/>
          <w:rFonts w:cstheme="minorHAnsi"/>
          <w:sz w:val="24"/>
          <w:szCs w:val="24"/>
        </w:rPr>
        <w:t xml:space="preserve">, or choose a population of 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sidR="00780F79">
        <w:rPr>
          <w:rStyle w:val="CommentReference"/>
          <w:rFonts w:cstheme="minorHAnsi"/>
          <w:sz w:val="24"/>
          <w:szCs w:val="24"/>
        </w:rPr>
        <w:t>, which should mitigate this probability</w:t>
      </w:r>
      <w:r w:rsidR="00350451">
        <w:rPr>
          <w:rStyle w:val="CommentReference"/>
          <w:rFonts w:cstheme="minorHAnsi"/>
          <w:sz w:val="24"/>
          <w:szCs w:val="24"/>
        </w:rPr>
        <w:t>.</w:t>
      </w:r>
      <w:r w:rsidR="00780F79">
        <w:rPr>
          <w:rStyle w:val="CommentReference"/>
          <w:rFonts w:cstheme="minorHAnsi"/>
          <w:sz w:val="24"/>
          <w:szCs w:val="24"/>
        </w:rPr>
        <w:t xml:space="preserve"> </w:t>
      </w:r>
    </w:p>
    <w:p w14:paraId="090D6276" w14:textId="77777777" w:rsidR="00B30770" w:rsidRDefault="00B30770" w:rsidP="00976D4C">
      <w:pPr>
        <w:spacing w:line="360" w:lineRule="auto"/>
        <w:ind w:firstLine="720"/>
        <w:rPr>
          <w:rStyle w:val="CommentReference"/>
          <w:rFonts w:cstheme="minorHAnsi"/>
          <w:sz w:val="24"/>
          <w:szCs w:val="24"/>
        </w:rPr>
      </w:pPr>
      <w:r>
        <w:rPr>
          <w:rStyle w:val="CommentReference"/>
          <w:rFonts w:cstheme="minorHAnsi"/>
          <w:sz w:val="24"/>
          <w:szCs w:val="24"/>
        </w:rPr>
        <w:t>Secondly, t</w:t>
      </w:r>
      <w:r w:rsidR="000032C6" w:rsidRPr="000032C6">
        <w:rPr>
          <w:rStyle w:val="CommentReference"/>
          <w:rFonts w:cstheme="minorHAnsi"/>
          <w:sz w:val="24"/>
          <w:szCs w:val="24"/>
        </w:rPr>
        <w:t xml:space="preserve">his study does not </w:t>
      </w:r>
      <w:r w:rsidR="00350451">
        <w:rPr>
          <w:rStyle w:val="CommentReference"/>
          <w:rFonts w:cstheme="minorHAnsi"/>
          <w:sz w:val="24"/>
          <w:szCs w:val="24"/>
        </w:rPr>
        <w:t>directly</w:t>
      </w:r>
      <w:r w:rsidR="000032C6" w:rsidRPr="000032C6">
        <w:rPr>
          <w:rStyle w:val="CommentReference"/>
          <w:rFonts w:cstheme="minorHAnsi"/>
          <w:sz w:val="24"/>
          <w:szCs w:val="24"/>
        </w:rPr>
        <w:t xml:space="preserve"> examine the statistical power of research, rather the statistical power of studies to detect Cohen’s benchmarks. Statistical power may have in fact increased if the average effect sizes that people are studying also increased, and this study would have no way of assessing this issue.</w:t>
      </w:r>
      <w:r w:rsidR="000032C6">
        <w:rPr>
          <w:rStyle w:val="CommentReference"/>
          <w:rFonts w:cstheme="minorHAnsi"/>
          <w:b/>
          <w:sz w:val="24"/>
          <w:szCs w:val="24"/>
        </w:rPr>
        <w:t xml:space="preserve"> </w:t>
      </w:r>
      <w:r>
        <w:rPr>
          <w:rStyle w:val="CommentReference"/>
          <w:rFonts w:cstheme="minorHAnsi"/>
          <w:sz w:val="24"/>
          <w:szCs w:val="24"/>
        </w:rPr>
        <w:t>Along similar lines</w:t>
      </w:r>
      <w:r w:rsidR="00DE71B2">
        <w:rPr>
          <w:rStyle w:val="CommentReference"/>
          <w:rFonts w:cstheme="minorHAnsi"/>
          <w:sz w:val="24"/>
          <w:szCs w:val="24"/>
        </w:rPr>
        <w:t>, these studies almost uniformly target tests for which power can be easily estimated, ignoring more sophisticated analyses (e.g., complex SEM, factor analysis, or even multilevel models). This may mean that the included research underestimates the average power of psychological research</w:t>
      </w:r>
      <w:r w:rsidR="00780F79">
        <w:rPr>
          <w:rStyle w:val="CommentReference"/>
          <w:rFonts w:cstheme="minorHAnsi"/>
          <w:sz w:val="24"/>
          <w:szCs w:val="24"/>
        </w:rPr>
        <w:t xml:space="preserve">, if larger studies tend to use these more sophisticated techniques. </w:t>
      </w:r>
    </w:p>
    <w:p w14:paraId="49A5251D" w14:textId="0E9BA5CB" w:rsidR="006C5797" w:rsidRDefault="00CB5E95" w:rsidP="00976D4C">
      <w:pPr>
        <w:spacing w:line="360" w:lineRule="auto"/>
        <w:ind w:firstLine="720"/>
        <w:rPr>
          <w:rStyle w:val="CommentReference"/>
          <w:rFonts w:cstheme="minorHAnsi"/>
          <w:sz w:val="24"/>
          <w:szCs w:val="24"/>
        </w:rPr>
      </w:pPr>
      <w:r>
        <w:rPr>
          <w:rStyle w:val="CommentReference"/>
          <w:rFonts w:cstheme="minorHAnsi"/>
          <w:sz w:val="24"/>
          <w:szCs w:val="24"/>
        </w:rPr>
        <w:t>T</w:t>
      </w:r>
      <w:r w:rsidR="006C5797">
        <w:rPr>
          <w:rStyle w:val="CommentReference"/>
          <w:rFonts w:cstheme="minorHAnsi"/>
          <w:sz w:val="24"/>
          <w:szCs w:val="24"/>
        </w:rPr>
        <w:t>he Egger’s test analogue results suggest that there is an association between estimated power and sample size. This could plausibly be accounted for by an association between subfield norms and the number of studies</w:t>
      </w:r>
      <w:r>
        <w:rPr>
          <w:rStyle w:val="CommentReference"/>
          <w:rFonts w:cstheme="minorHAnsi"/>
          <w:sz w:val="24"/>
          <w:szCs w:val="24"/>
        </w:rPr>
        <w:t xml:space="preserve"> (i.e., fields were norms are to have </w:t>
      </w:r>
      <w:r>
        <w:rPr>
          <w:rStyle w:val="CommentReference"/>
          <w:rFonts w:cstheme="minorHAnsi"/>
          <w:sz w:val="24"/>
          <w:szCs w:val="24"/>
        </w:rPr>
        <w:lastRenderedPageBreak/>
        <w:t>larger sample sizes are also reflected in their meta-research)</w:t>
      </w:r>
      <w:r w:rsidR="006C5797">
        <w:rPr>
          <w:rStyle w:val="CommentReference"/>
          <w:rFonts w:cstheme="minorHAnsi"/>
          <w:sz w:val="24"/>
          <w:szCs w:val="24"/>
        </w:rPr>
        <w:t>, could be</w:t>
      </w:r>
      <w:r w:rsidR="001F0697">
        <w:rPr>
          <w:rStyle w:val="CommentReference"/>
          <w:rFonts w:cstheme="minorHAnsi"/>
          <w:sz w:val="24"/>
          <w:szCs w:val="24"/>
        </w:rPr>
        <w:t xml:space="preserve"> otherwise</w:t>
      </w:r>
      <w:r w:rsidR="006C5797">
        <w:rPr>
          <w:rStyle w:val="CommentReference"/>
          <w:rFonts w:cstheme="minorHAnsi"/>
          <w:sz w:val="24"/>
          <w:szCs w:val="24"/>
        </w:rPr>
        <w:t xml:space="preserve"> artefactual, or could suggest that publication bias is operating to suppress smaller studies which find higher power estimates. If the latter is the case, the estimates of mean power here could underestimate the true power of psychology research. </w:t>
      </w:r>
    </w:p>
    <w:p w14:paraId="30287A55" w14:textId="77777777" w:rsidR="00976D4C" w:rsidRDefault="00780F79" w:rsidP="00976D4C">
      <w:pPr>
        <w:spacing w:line="360" w:lineRule="auto"/>
        <w:ind w:firstLine="720"/>
        <w:rPr>
          <w:rFonts w:cstheme="minorHAnsi"/>
        </w:rPr>
      </w:pPr>
      <w:r>
        <w:rPr>
          <w:rStyle w:val="CommentReference"/>
          <w:rFonts w:cstheme="minorHAnsi"/>
          <w:sz w:val="24"/>
          <w:szCs w:val="24"/>
        </w:rPr>
        <w:t xml:space="preserve">Additionally, a large amount </w:t>
      </w:r>
      <w:r w:rsidR="00DE71B2">
        <w:rPr>
          <w:rStyle w:val="CommentReference"/>
          <w:rFonts w:cstheme="minorHAnsi"/>
          <w:sz w:val="24"/>
          <w:szCs w:val="24"/>
        </w:rPr>
        <w:t xml:space="preserve">of the heterogeneity seen in the power estimates examined </w:t>
      </w:r>
      <w:r>
        <w:rPr>
          <w:rStyle w:val="CommentReference"/>
          <w:rFonts w:cstheme="minorHAnsi"/>
          <w:sz w:val="24"/>
          <w:szCs w:val="24"/>
        </w:rPr>
        <w:t xml:space="preserve">may be </w:t>
      </w:r>
      <w:r w:rsidR="00DE71B2">
        <w:rPr>
          <w:rStyle w:val="CommentReference"/>
          <w:rFonts w:cstheme="minorHAnsi"/>
          <w:sz w:val="24"/>
          <w:szCs w:val="24"/>
        </w:rPr>
        <w:t xml:space="preserve">caused by </w:t>
      </w:r>
      <w:r w:rsidR="00DE71B2" w:rsidRPr="004422F7">
        <w:rPr>
          <w:rStyle w:val="CommentReference"/>
          <w:rFonts w:cstheme="minorHAnsi"/>
          <w:sz w:val="24"/>
          <w:szCs w:val="24"/>
        </w:rPr>
        <w:t>deviat</w:t>
      </w:r>
      <w:r w:rsidR="00DE71B2">
        <w:rPr>
          <w:rStyle w:val="CommentReference"/>
          <w:rFonts w:cstheme="minorHAnsi"/>
          <w:sz w:val="24"/>
          <w:szCs w:val="24"/>
        </w:rPr>
        <w:t>ions</w:t>
      </w:r>
      <w:r w:rsidR="00DE71B2" w:rsidRPr="004422F7">
        <w:rPr>
          <w:rStyle w:val="CommentReference"/>
          <w:rFonts w:cstheme="minorHAnsi"/>
          <w:sz w:val="24"/>
          <w:szCs w:val="24"/>
        </w:rPr>
        <w:t xml:space="preserve"> from </w:t>
      </w:r>
      <w:r w:rsidR="00DE71B2">
        <w:rPr>
          <w:rStyle w:val="CommentReference"/>
          <w:rFonts w:cstheme="minorHAnsi"/>
          <w:sz w:val="24"/>
          <w:szCs w:val="24"/>
        </w:rPr>
        <w:t>Cohen’s approach to power survey</w:t>
      </w:r>
      <w:r w:rsidR="00DE71B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DE71B2">
        <w:rPr>
          <w:rStyle w:val="CommentReference"/>
          <w:rFonts w:cstheme="minorHAnsi"/>
          <w:sz w:val="24"/>
          <w:szCs w:val="24"/>
        </w:rPr>
        <w:t xml:space="preserve">. However, the </w:t>
      </w:r>
      <w:r w:rsidR="00B30770">
        <w:rPr>
          <w:rStyle w:val="CommentReference"/>
          <w:rFonts w:cstheme="minorHAnsi"/>
          <w:sz w:val="24"/>
          <w:szCs w:val="24"/>
        </w:rPr>
        <w:t xml:space="preserve">overall </w:t>
      </w:r>
      <w:r w:rsidR="00DE71B2">
        <w:rPr>
          <w:rStyle w:val="CommentReference"/>
          <w:rFonts w:cstheme="minorHAnsi"/>
          <w:sz w:val="24"/>
          <w:szCs w:val="24"/>
        </w:rPr>
        <w:t xml:space="preserve">trend </w:t>
      </w:r>
      <w:r w:rsidR="00B30770">
        <w:rPr>
          <w:rStyle w:val="CommentReference"/>
          <w:rFonts w:cstheme="minorHAnsi"/>
          <w:sz w:val="24"/>
          <w:szCs w:val="24"/>
        </w:rPr>
        <w:t xml:space="preserve">in power estimates from these surveys </w:t>
      </w:r>
      <w:r w:rsidR="00DE71B2">
        <w:rPr>
          <w:rStyle w:val="CommentReference"/>
          <w:rFonts w:cstheme="minorHAnsi"/>
          <w:sz w:val="24"/>
          <w:szCs w:val="24"/>
        </w:rPr>
        <w:t>is clear and many of these</w:t>
      </w:r>
      <w:r w:rsidR="00DE71B2" w:rsidRPr="004422F7">
        <w:rPr>
          <w:rStyle w:val="CommentReference"/>
          <w:rFonts w:cstheme="minorHAnsi"/>
          <w:sz w:val="24"/>
          <w:szCs w:val="24"/>
        </w:rPr>
        <w:t xml:space="preserve"> deviations </w:t>
      </w:r>
      <w:r w:rsidR="00DE71B2">
        <w:rPr>
          <w:rStyle w:val="CommentReference"/>
          <w:rFonts w:cstheme="minorHAnsi"/>
          <w:sz w:val="24"/>
          <w:szCs w:val="24"/>
        </w:rPr>
        <w:t>seem likely to</w:t>
      </w:r>
      <w:r w:rsidR="00DE71B2" w:rsidRPr="004422F7">
        <w:rPr>
          <w:rStyle w:val="CommentReference"/>
          <w:rFonts w:cstheme="minorHAnsi"/>
          <w:sz w:val="24"/>
          <w:szCs w:val="24"/>
        </w:rPr>
        <w:t xml:space="preserve"> cause </w:t>
      </w:r>
      <w:r w:rsidR="00DE71B2">
        <w:rPr>
          <w:rStyle w:val="CommentReference"/>
          <w:rFonts w:cstheme="minorHAnsi"/>
          <w:sz w:val="24"/>
          <w:szCs w:val="24"/>
        </w:rPr>
        <w:t xml:space="preserve">only </w:t>
      </w:r>
      <w:r w:rsidR="00DE71B2" w:rsidRPr="004422F7">
        <w:rPr>
          <w:rStyle w:val="CommentReference"/>
          <w:rFonts w:cstheme="minorHAnsi"/>
          <w:sz w:val="24"/>
          <w:szCs w:val="24"/>
        </w:rPr>
        <w:t xml:space="preserve">small differences in observed power estimates (e.g., </w:t>
      </w:r>
      <w:r w:rsidR="00DE71B2" w:rsidRPr="004422F7">
        <w:rPr>
          <w:rStyle w:val="CommentReference"/>
          <w:rFonts w:cstheme="minorHAnsi"/>
          <w:sz w:val="24"/>
          <w:szCs w:val="24"/>
        </w:rPr>
        <w:fldChar w:fldCharType="begin"/>
      </w:r>
      <w:r w:rsidR="00DE71B2">
        <w:rPr>
          <w:rStyle w:val="CommentReference"/>
          <w:rFonts w:cstheme="minorHAnsi"/>
          <w:sz w:val="24"/>
          <w:szCs w:val="24"/>
        </w:rPr>
        <w:instrText xml:space="preserve"> ADDIN EN.CITE &lt;EndNote&gt;&lt;Cite AuthorYear="1"&gt;&lt;Author&gt;Luke&lt;/Author&gt;&lt;Year&gt;2004&lt;/Year&gt;&lt;RecNum&gt;762&lt;/RecNum&gt;&lt;DisplayText&gt;Cashen and Geiger (2004)&lt;/DisplayText&gt;&lt;record&gt;&lt;rec-number&gt;762&lt;/rec-number&gt;&lt;foreign-keys&gt;&lt;key app="EN" db-id="9xrafw5sx95dvre9w5hpevd89fzwtwr9twsw" timestamp="1517386990"&gt;762&lt;/key&gt;&lt;/foreign-keys&gt;&lt;ref-type name="Journal Article"&gt;17&lt;/ref-type&gt;&lt;contributors&gt;&lt;authors&gt;&lt;author&gt;Cashen, Luke H.&lt;/author&gt;&lt;author&gt;Geiger, Scott W. &lt;/author&gt;&lt;/authors&gt;&lt;/contributors&gt;&lt;titles&gt;&lt;title&gt;Statistical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2004/04/01&lt;/date&gt;&lt;/pub-dates&gt;&lt;/dates&gt;&lt;publisher&gt;SAGE Publications Inc&lt;/publisher&gt;&lt;isbn&gt;1094-4281&lt;/isbn&gt;&lt;urls&gt;&lt;related-urls&gt;&lt;url&gt;https://doi.org/10.1177/1094428104263676&lt;/url&gt;&lt;/related-urls&gt;&lt;/urls&gt;&lt;electronic-resource-num&gt;10.1177/1094428104263676&lt;/electronic-resource-num&gt;&lt;access-date&gt;2018/01/31&lt;/access-date&gt;&lt;/record&gt;&lt;/Cite&gt;&lt;/EndNote&gt;</w:instrText>
      </w:r>
      <w:r w:rsidR="00DE71B2" w:rsidRPr="004422F7">
        <w:rPr>
          <w:rStyle w:val="CommentReference"/>
          <w:rFonts w:cstheme="minorHAnsi"/>
          <w:sz w:val="24"/>
          <w:szCs w:val="24"/>
        </w:rPr>
        <w:fldChar w:fldCharType="separate"/>
      </w:r>
      <w:r w:rsidR="00DE71B2">
        <w:rPr>
          <w:rStyle w:val="CommentReference"/>
          <w:rFonts w:cstheme="minorHAnsi"/>
          <w:noProof/>
          <w:sz w:val="24"/>
          <w:szCs w:val="24"/>
        </w:rPr>
        <w:t>Cashen and Geiger (2004)</w:t>
      </w:r>
      <w:r w:rsidR="00DE71B2" w:rsidRPr="004422F7">
        <w:rPr>
          <w:rStyle w:val="CommentReference"/>
          <w:rFonts w:cstheme="minorHAnsi"/>
          <w:sz w:val="24"/>
          <w:szCs w:val="24"/>
        </w:rPr>
        <w:fldChar w:fldCharType="end"/>
      </w:r>
      <w:r w:rsidR="00DE71B2" w:rsidRPr="004422F7">
        <w:rPr>
          <w:rStyle w:val="CommentReference"/>
          <w:rFonts w:cstheme="minorHAnsi"/>
          <w:sz w:val="24"/>
          <w:szCs w:val="24"/>
        </w:rPr>
        <w:t xml:space="preserve"> showed that not averaging power estimates within articles lead to a difference in estimated power of less than .003)</w:t>
      </w:r>
      <w:r w:rsidR="00DE71B2">
        <w:rPr>
          <w:rStyle w:val="CommentReference"/>
          <w:rFonts w:cstheme="minorHAnsi"/>
          <w:sz w:val="24"/>
          <w:szCs w:val="24"/>
        </w:rPr>
        <w:t>.</w:t>
      </w:r>
      <w:r w:rsidR="00976D4C" w:rsidRPr="00976D4C">
        <w:rPr>
          <w:rFonts w:cstheme="minorHAnsi"/>
        </w:rPr>
        <w:t xml:space="preserve"> </w:t>
      </w:r>
    </w:p>
    <w:p w14:paraId="2526163A" w14:textId="3DFF6065" w:rsidR="00DF266C" w:rsidRDefault="00976D4C" w:rsidP="00157F7E">
      <w:pPr>
        <w:spacing w:line="360" w:lineRule="auto"/>
        <w:ind w:firstLine="720"/>
        <w:rPr>
          <w:rStyle w:val="CommentReference"/>
          <w:rFonts w:cstheme="minorHAnsi"/>
          <w:sz w:val="24"/>
          <w:szCs w:val="24"/>
        </w:rPr>
      </w:pPr>
      <w:r>
        <w:rPr>
          <w:rFonts w:cstheme="minorHAnsi"/>
        </w:rPr>
        <w:t xml:space="preserve">There are a number of possible explanations </w:t>
      </w:r>
      <w:r w:rsidR="001F0697">
        <w:rPr>
          <w:rFonts w:cstheme="minorHAnsi"/>
        </w:rPr>
        <w:t>for</w:t>
      </w:r>
      <w:r w:rsidR="0043112C">
        <w:rPr>
          <w:rFonts w:cstheme="minorHAnsi"/>
        </w:rPr>
        <w:t xml:space="preserve"> the</w:t>
      </w:r>
      <w:r w:rsidR="001F0697">
        <w:rPr>
          <w:rFonts w:cstheme="minorHAnsi"/>
        </w:rPr>
        <w:t xml:space="preserve"> </w:t>
      </w:r>
      <w:r w:rsidR="0043112C">
        <w:rPr>
          <w:rFonts w:cstheme="minorHAnsi"/>
        </w:rPr>
        <w:t xml:space="preserve">estimated </w:t>
      </w:r>
      <w:r w:rsidR="001F0697">
        <w:rPr>
          <w:rFonts w:cstheme="minorHAnsi"/>
        </w:rPr>
        <w:t xml:space="preserve">rate of power analysis reporting and lack of change over time </w:t>
      </w:r>
      <w:r>
        <w:rPr>
          <w:rFonts w:cstheme="minorHAnsi"/>
        </w:rPr>
        <w:t xml:space="preserve">that cannot be ruled out on the basis of </w:t>
      </w:r>
      <w:r w:rsidR="00DF266C">
        <w:rPr>
          <w:rFonts w:cstheme="minorHAnsi"/>
        </w:rPr>
        <w:t>the secondary analysis</w:t>
      </w:r>
      <w:r>
        <w:rPr>
          <w:rFonts w:cstheme="minorHAnsi"/>
        </w:rPr>
        <w:t xml:space="preserve">. First, it should be noted a plurality </w:t>
      </w:r>
      <w:r w:rsidRPr="004422F7">
        <w:rPr>
          <w:rFonts w:cstheme="minorHAnsi"/>
        </w:rPr>
        <w:t>of these the studies included in this secondary analysis are from clinical psychology research</w:t>
      </w:r>
      <w:r w:rsidR="00DF266C">
        <w:rPr>
          <w:rFonts w:cstheme="minorHAnsi"/>
        </w:rPr>
        <w:t xml:space="preserve">, which could </w:t>
      </w:r>
      <w:r>
        <w:rPr>
          <w:rFonts w:cstheme="minorHAnsi"/>
        </w:rPr>
        <w:t xml:space="preserve">inflate the number of articles reporting a power analysis due to institutional review boards more regularly requiring power analysis if research deals clinical populations </w:t>
      </w:r>
      <w:r>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 </w:instrText>
      </w:r>
      <w:r w:rsidR="00CB5E95">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EN.CITE.DATA </w:instrText>
      </w:r>
      <w:r w:rsidR="00CB5E95">
        <w:rPr>
          <w:rFonts w:cstheme="minorHAnsi"/>
        </w:rPr>
      </w:r>
      <w:r w:rsidR="00CB5E95">
        <w:rPr>
          <w:rFonts w:cstheme="minorHAnsi"/>
        </w:rPr>
        <w:fldChar w:fldCharType="end"/>
      </w:r>
      <w:r>
        <w:rPr>
          <w:rFonts w:cstheme="minorHAnsi"/>
        </w:rPr>
      </w:r>
      <w:r>
        <w:rPr>
          <w:rFonts w:cstheme="minorHAnsi"/>
        </w:rPr>
        <w:fldChar w:fldCharType="separate"/>
      </w:r>
      <w:r w:rsidR="00CB5E95">
        <w:rPr>
          <w:rFonts w:cstheme="minorHAnsi"/>
          <w:noProof/>
        </w:rPr>
        <w:t>(Chan, Hróbjartsson, Jørgensen, Gøtzsche, &amp; Altman, 2008; Moher et al., 2010)</w:t>
      </w:r>
      <w:r>
        <w:rPr>
          <w:rFonts w:cstheme="minorHAnsi"/>
        </w:rPr>
        <w:fldChar w:fldCharType="end"/>
      </w:r>
      <w:r>
        <w:rPr>
          <w:rFonts w:cstheme="minorHAnsi"/>
        </w:rPr>
        <w:t>. M</w:t>
      </w:r>
      <w:r w:rsidR="00DF266C">
        <w:rPr>
          <w:rFonts w:cstheme="minorHAnsi"/>
        </w:rPr>
        <w:t>ore problematically</w:t>
      </w:r>
      <w:r w:rsidRPr="004422F7">
        <w:rPr>
          <w:rFonts w:cstheme="minorHAnsi"/>
        </w:rPr>
        <w:t xml:space="preserve"> </w:t>
      </w:r>
      <w:r>
        <w:rPr>
          <w:rFonts w:cstheme="minorHAnsi"/>
        </w:rPr>
        <w:t xml:space="preserve">as none of </w:t>
      </w:r>
      <w:r w:rsidRPr="004422F7">
        <w:rPr>
          <w:rFonts w:cstheme="minorHAnsi"/>
        </w:rPr>
        <w:t>the included articles were primarily being performed to estimate the proportion of articles which reported a power analysis, there is</w:t>
      </w:r>
      <w:r w:rsidR="0043112C">
        <w:rPr>
          <w:rFonts w:cstheme="minorHAnsi"/>
        </w:rPr>
        <w:t xml:space="preserve"> arguably</w:t>
      </w:r>
      <w:r>
        <w:rPr>
          <w:rFonts w:cstheme="minorHAnsi"/>
        </w:rPr>
        <w:t xml:space="preserve"> an</w:t>
      </w:r>
      <w:r w:rsidRPr="004422F7">
        <w:rPr>
          <w:rFonts w:cstheme="minorHAnsi"/>
        </w:rPr>
        <w:t xml:space="preserve"> </w:t>
      </w:r>
      <w:r>
        <w:rPr>
          <w:rFonts w:cstheme="minorHAnsi"/>
        </w:rPr>
        <w:t>increased</w:t>
      </w:r>
      <w:r w:rsidRPr="004422F7">
        <w:rPr>
          <w:rFonts w:cstheme="minorHAnsi"/>
        </w:rPr>
        <w:t xml:space="preserve"> risk that </w:t>
      </w:r>
      <w:r>
        <w:rPr>
          <w:rFonts w:cstheme="minorHAnsi"/>
        </w:rPr>
        <w:t xml:space="preserve">only those articles in which the proportion of articles reporting a power analysis were worryingly low reported this value. </w:t>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strong</w:t>
      </w:r>
      <w:r w:rsidRPr="004422F7">
        <w:rPr>
          <w:rFonts w:cstheme="minorHAnsi"/>
        </w:rPr>
        <w:t xml:space="preserve"> evidence that power analyses are rarely reported</w:t>
      </w:r>
      <w:r>
        <w:rPr>
          <w:rFonts w:cstheme="minorHAnsi"/>
        </w:rPr>
        <w:t xml:space="preserve"> across the psychology literature, even as the point estimate of the proportion should be interpreted with caution.</w:t>
      </w:r>
      <w:r w:rsidR="00DF266C" w:rsidRPr="00DF266C">
        <w:rPr>
          <w:rStyle w:val="CommentReference"/>
          <w:rFonts w:cstheme="minorHAnsi"/>
          <w:sz w:val="24"/>
          <w:szCs w:val="24"/>
        </w:rPr>
        <w:t xml:space="preserve"> </w:t>
      </w: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7122117E" w:rsidR="0043112C" w:rsidRDefault="00936F6D" w:rsidP="00157F7E">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analysis appears to be rarely reported, </w:t>
      </w:r>
      <w:r w:rsidR="0043112C">
        <w:rPr>
          <w:rStyle w:val="CommentReference"/>
          <w:rFonts w:cstheme="minorHAnsi"/>
          <w:sz w:val="24"/>
          <w:szCs w:val="24"/>
        </w:rPr>
        <w:t xml:space="preserve">power to detect small to medium effects has been lower than suggested benchmarks, and neither of these facts appears to have changed despite over 50 years of repeated criticism on this topic. Research consumers should be aware that the proportion of studies which report statistically significant findings in psychology is implausibly high given the estimated power of studies in </w:t>
      </w:r>
      <w:proofErr w:type="gramStart"/>
      <w:r w:rsidR="0043112C">
        <w:rPr>
          <w:rStyle w:val="CommentReference"/>
          <w:rFonts w:cstheme="minorHAnsi"/>
          <w:sz w:val="24"/>
          <w:szCs w:val="24"/>
        </w:rPr>
        <w:t>psychology, and</w:t>
      </w:r>
      <w:proofErr w:type="gramEnd"/>
      <w:r w:rsidR="0043112C">
        <w:rPr>
          <w:rStyle w:val="CommentReference"/>
          <w:rFonts w:cstheme="minorHAnsi"/>
          <w:sz w:val="24"/>
          <w:szCs w:val="24"/>
        </w:rPr>
        <w:t xml:space="preserve"> should interpret published psychological literature with this fact in mind. </w:t>
      </w:r>
      <w:r w:rsidR="0043112C">
        <w:rPr>
          <w:rStyle w:val="CommentReference"/>
          <w:rFonts w:cstheme="minorHAnsi"/>
          <w:sz w:val="24"/>
          <w:szCs w:val="24"/>
        </w:rPr>
        <w:lastRenderedPageBreak/>
        <w:t xml:space="preserve">Individual researchers should be aware of and make use of the tools that are available to help ensure that their research is likely to enable meaningful inferences. </w:t>
      </w:r>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50C7DFEC" w14:textId="77777777" w:rsidR="00157F7E" w:rsidRPr="00157F7E" w:rsidRDefault="0050225C" w:rsidP="00157F7E">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157F7E" w:rsidRPr="00157F7E">
        <w:rPr>
          <w:noProof/>
        </w:rPr>
        <w:t xml:space="preserve">APA Publications Communications Board Working Group on Journal Article Reporting Standards. (2008). Reporting standards for research in psychology: Why do we need them? What might they be? </w:t>
      </w:r>
      <w:r w:rsidR="00157F7E" w:rsidRPr="00157F7E">
        <w:rPr>
          <w:i/>
          <w:noProof/>
        </w:rPr>
        <w:t>The American Psychologist, 63</w:t>
      </w:r>
      <w:r w:rsidR="00157F7E" w:rsidRPr="00157F7E">
        <w:rPr>
          <w:noProof/>
        </w:rPr>
        <w:t>, 839-851. doi:10.1037/0003-066X.63.9.839</w:t>
      </w:r>
    </w:p>
    <w:p w14:paraId="043C0A3B" w14:textId="77777777" w:rsidR="00157F7E" w:rsidRPr="00157F7E" w:rsidRDefault="00157F7E" w:rsidP="00157F7E">
      <w:pPr>
        <w:pStyle w:val="EndNoteBibliography"/>
        <w:ind w:left="720" w:hanging="720"/>
        <w:rPr>
          <w:noProof/>
        </w:rPr>
      </w:pPr>
      <w:r w:rsidRPr="00157F7E">
        <w:rPr>
          <w:noProof/>
        </w:rPr>
        <w:t xml:space="preserve">Bakker, M., Hartgerink, C. H. J., Wicherts, J. M., &amp; van der Maas, H. L. J. (2016). Researchers’ Intuitions About Power in Psychological Research. </w:t>
      </w:r>
      <w:r w:rsidRPr="00157F7E">
        <w:rPr>
          <w:i/>
          <w:noProof/>
        </w:rPr>
        <w:t>Psychological Science, 27</w:t>
      </w:r>
      <w:r w:rsidRPr="00157F7E">
        <w:rPr>
          <w:noProof/>
        </w:rPr>
        <w:t>, 1069-1077. doi:10.1177/0956797616647519</w:t>
      </w:r>
    </w:p>
    <w:p w14:paraId="7350F56E" w14:textId="77777777" w:rsidR="00157F7E" w:rsidRPr="00157F7E" w:rsidRDefault="00157F7E" w:rsidP="00157F7E">
      <w:pPr>
        <w:pStyle w:val="EndNoteBibliography"/>
        <w:ind w:left="720" w:hanging="720"/>
        <w:rPr>
          <w:noProof/>
        </w:rPr>
      </w:pPr>
      <w:r w:rsidRPr="00157F7E">
        <w:rPr>
          <w:noProof/>
        </w:rPr>
        <w:t xml:space="preserve">Bakker, M., van Assen, M., Crompvoets, E., Ong, H., &amp; Soderberg, C. (2017). </w:t>
      </w:r>
      <w:r w:rsidRPr="00157F7E">
        <w:rPr>
          <w:i/>
          <w:noProof/>
        </w:rPr>
        <w:t>Restriction of opportunistic use of researcher degrees of freedom in pre-registrations on the Open Science Framework: The human Fallibility of scientists.</w:t>
      </w:r>
      <w:r w:rsidRPr="00157F7E">
        <w:rPr>
          <w:noProof/>
        </w:rPr>
        <w:t xml:space="preserve">   </w:t>
      </w:r>
    </w:p>
    <w:p w14:paraId="3CF3EAEF" w14:textId="77777777" w:rsidR="00157F7E" w:rsidRPr="00157F7E" w:rsidRDefault="00157F7E" w:rsidP="00157F7E">
      <w:pPr>
        <w:pStyle w:val="EndNoteBibliography"/>
        <w:ind w:left="720" w:hanging="720"/>
        <w:rPr>
          <w:noProof/>
        </w:rPr>
      </w:pPr>
      <w:r w:rsidRPr="00157F7E">
        <w:rPr>
          <w:noProof/>
        </w:rPr>
        <w:t xml:space="preserve">Bakker, M., van Dijk, A., &amp; Wicherts, J. M. (2012). The Rules of the Game Called Psychological Science. </w:t>
      </w:r>
      <w:r w:rsidRPr="00157F7E">
        <w:rPr>
          <w:i/>
          <w:noProof/>
        </w:rPr>
        <w:t>Perspectives on Psychological Science, 7</w:t>
      </w:r>
      <w:r w:rsidRPr="00157F7E">
        <w:rPr>
          <w:noProof/>
        </w:rPr>
        <w:t>, 543-554. doi:10.1177/1745691612459060</w:t>
      </w:r>
    </w:p>
    <w:p w14:paraId="3071FD9F" w14:textId="77777777" w:rsidR="00157F7E" w:rsidRPr="00157F7E" w:rsidRDefault="00157F7E" w:rsidP="00157F7E">
      <w:pPr>
        <w:pStyle w:val="EndNoteBibliography"/>
        <w:ind w:left="720" w:hanging="720"/>
        <w:rPr>
          <w:noProof/>
        </w:rPr>
      </w:pPr>
      <w:r w:rsidRPr="00157F7E">
        <w:rPr>
          <w:noProof/>
        </w:rPr>
        <w:t xml:space="preserve">Beaujean, A. A. (2014). Sample size determination for regression models using monte carlo methods in r. </w:t>
      </w:r>
      <w:r w:rsidRPr="00157F7E">
        <w:rPr>
          <w:i/>
          <w:noProof/>
        </w:rPr>
        <w:t>Practical assessment, research &amp; evaluation, 19</w:t>
      </w:r>
      <w:r w:rsidRPr="00157F7E">
        <w:rPr>
          <w:noProof/>
        </w:rPr>
        <w:t xml:space="preserve">, 1. </w:t>
      </w:r>
    </w:p>
    <w:p w14:paraId="5CC98AFD" w14:textId="77777777" w:rsidR="00157F7E" w:rsidRPr="00157F7E" w:rsidRDefault="00157F7E" w:rsidP="00157F7E">
      <w:pPr>
        <w:pStyle w:val="EndNoteBibliography"/>
        <w:ind w:left="720" w:hanging="720"/>
        <w:rPr>
          <w:noProof/>
        </w:rPr>
      </w:pPr>
      <w:r w:rsidRPr="00157F7E">
        <w:rPr>
          <w:noProof/>
        </w:rPr>
        <w:t xml:space="preserve">Bezeau, S., &amp; Graves, R. (2001). Statistical power and effect sizes of clinical neuropsychology research. </w:t>
      </w:r>
      <w:r w:rsidRPr="00157F7E">
        <w:rPr>
          <w:i/>
          <w:noProof/>
        </w:rPr>
        <w:t>Journal of Clinical and Experimental Neuropsychology, 23</w:t>
      </w:r>
      <w:r w:rsidRPr="00157F7E">
        <w:rPr>
          <w:noProof/>
        </w:rPr>
        <w:t>, 399-406. doi:10.1076/jcen.23.3.399.1181</w:t>
      </w:r>
    </w:p>
    <w:p w14:paraId="06E24465" w14:textId="77777777" w:rsidR="00157F7E" w:rsidRPr="00157F7E" w:rsidRDefault="00157F7E" w:rsidP="00157F7E">
      <w:pPr>
        <w:pStyle w:val="EndNoteBibliography"/>
        <w:ind w:left="720" w:hanging="720"/>
        <w:rPr>
          <w:noProof/>
        </w:rPr>
      </w:pPr>
      <w:r w:rsidRPr="00157F7E">
        <w:rPr>
          <w:noProof/>
        </w:rPr>
        <w:t xml:space="preserve">Bland, J. M. (2009). The tyranny of power: Is there a better way to calculate sample size? </w:t>
      </w:r>
      <w:r w:rsidRPr="00157F7E">
        <w:rPr>
          <w:i/>
          <w:noProof/>
        </w:rPr>
        <w:t>BMJ, 339</w:t>
      </w:r>
      <w:r w:rsidRPr="00157F7E">
        <w:rPr>
          <w:noProof/>
        </w:rPr>
        <w:t>. doi:10.1136/bmj.b3985</w:t>
      </w:r>
    </w:p>
    <w:p w14:paraId="402F8D6C" w14:textId="77777777" w:rsidR="00157F7E" w:rsidRPr="00157F7E" w:rsidRDefault="00157F7E" w:rsidP="00157F7E">
      <w:pPr>
        <w:pStyle w:val="EndNoteBibliography"/>
        <w:ind w:left="720" w:hanging="720"/>
        <w:rPr>
          <w:noProof/>
        </w:rPr>
      </w:pPr>
      <w:r w:rsidRPr="00157F7E">
        <w:rPr>
          <w:noProof/>
        </w:rPr>
        <w:t xml:space="preserve">Bosco, F. A., Aguinis, H., Singh, K., Field, J. G., &amp; Pierce, C. A. (2015). Correlational effect size benchmarks. </w:t>
      </w:r>
      <w:r w:rsidRPr="00157F7E">
        <w:rPr>
          <w:i/>
          <w:noProof/>
        </w:rPr>
        <w:t>Journal of Applied Psychology, 100</w:t>
      </w:r>
      <w:r w:rsidRPr="00157F7E">
        <w:rPr>
          <w:noProof/>
        </w:rPr>
        <w:t>, 431-449. doi:10.1037/a0038047</w:t>
      </w:r>
    </w:p>
    <w:p w14:paraId="7EE96CB9" w14:textId="77777777" w:rsidR="00157F7E" w:rsidRPr="00157F7E" w:rsidRDefault="00157F7E" w:rsidP="00157F7E">
      <w:pPr>
        <w:pStyle w:val="EndNoteBibliography"/>
        <w:ind w:left="720" w:hanging="720"/>
        <w:rPr>
          <w:noProof/>
        </w:rPr>
      </w:pPr>
      <w:r w:rsidRPr="00157F7E">
        <w:rPr>
          <w:noProof/>
        </w:rPr>
        <w:t xml:space="preserve">Cashen, L. H., &amp; Geiger, S. W. (2004). Statistical Power and the Testing of Null Hypotheses: A Review of Contemporary Management Research and Recommendations for Future Studies. </w:t>
      </w:r>
      <w:r w:rsidRPr="00157F7E">
        <w:rPr>
          <w:i/>
          <w:noProof/>
        </w:rPr>
        <w:t>Organizational Research Methods, 7</w:t>
      </w:r>
      <w:r w:rsidRPr="00157F7E">
        <w:rPr>
          <w:noProof/>
        </w:rPr>
        <w:t>, 151-167. doi:10.1177/1094428104263676</w:t>
      </w:r>
    </w:p>
    <w:p w14:paraId="12D13D27" w14:textId="77777777" w:rsidR="00157F7E" w:rsidRPr="00157F7E" w:rsidRDefault="00157F7E" w:rsidP="00157F7E">
      <w:pPr>
        <w:pStyle w:val="EndNoteBibliography"/>
        <w:ind w:left="720" w:hanging="720"/>
        <w:rPr>
          <w:noProof/>
        </w:rPr>
      </w:pPr>
      <w:r w:rsidRPr="00157F7E">
        <w:rPr>
          <w:noProof/>
        </w:rPr>
        <w:t xml:space="preserve">Chan, A.-W., Hróbjartsson, A., Jørgensen, K. J., Gøtzsche, P. C., &amp; Altman, D. G. (2008). Discrepancies in sample size calculations and data analyses reported in randomised trials: comparison of publications with protocols. </w:t>
      </w:r>
      <w:r w:rsidRPr="00157F7E">
        <w:rPr>
          <w:i/>
          <w:noProof/>
        </w:rPr>
        <w:t>BMJ, 337</w:t>
      </w:r>
      <w:r w:rsidRPr="00157F7E">
        <w:rPr>
          <w:noProof/>
        </w:rPr>
        <w:t>. doi:10.1136/bmj.a2299</w:t>
      </w:r>
    </w:p>
    <w:p w14:paraId="75C764BF" w14:textId="77777777" w:rsidR="00157F7E" w:rsidRPr="00157F7E" w:rsidRDefault="00157F7E" w:rsidP="00157F7E">
      <w:pPr>
        <w:pStyle w:val="EndNoteBibliography"/>
        <w:ind w:left="720" w:hanging="720"/>
        <w:rPr>
          <w:noProof/>
        </w:rPr>
      </w:pPr>
      <w:r w:rsidRPr="00157F7E">
        <w:rPr>
          <w:noProof/>
        </w:rPr>
        <w:t xml:space="preserve">Cohen, J. (1962). The statistical power of abnormal-social psychological research: A review. </w:t>
      </w:r>
      <w:r w:rsidRPr="00157F7E">
        <w:rPr>
          <w:i/>
          <w:noProof/>
        </w:rPr>
        <w:t>The Journal of Abnormal and Social Psychology, 65</w:t>
      </w:r>
      <w:r w:rsidRPr="00157F7E">
        <w:rPr>
          <w:noProof/>
        </w:rPr>
        <w:t>, 145-153. doi:10.1037/h0045186</w:t>
      </w:r>
    </w:p>
    <w:p w14:paraId="293A9E84" w14:textId="77777777" w:rsidR="00157F7E" w:rsidRPr="00157F7E" w:rsidRDefault="00157F7E" w:rsidP="00157F7E">
      <w:pPr>
        <w:pStyle w:val="EndNoteBibliography"/>
        <w:ind w:left="720" w:hanging="720"/>
        <w:rPr>
          <w:noProof/>
        </w:rPr>
      </w:pPr>
      <w:r w:rsidRPr="00157F7E">
        <w:rPr>
          <w:noProof/>
        </w:rPr>
        <w:t>Cohen, J. (1988). Statistical power analysis for the behavioral sciences (2nd ed.). Hillsdale, New Jersey: Erlbaum.</w:t>
      </w:r>
    </w:p>
    <w:p w14:paraId="556F8A3A" w14:textId="77777777" w:rsidR="00157F7E" w:rsidRPr="00157F7E" w:rsidRDefault="00157F7E" w:rsidP="00157F7E">
      <w:pPr>
        <w:pStyle w:val="EndNoteBibliography"/>
        <w:ind w:left="720" w:hanging="720"/>
        <w:rPr>
          <w:noProof/>
        </w:rPr>
      </w:pPr>
      <w:r w:rsidRPr="00157F7E">
        <w:rPr>
          <w:noProof/>
        </w:rPr>
        <w:t xml:space="preserve">Cohen, J. (1992). A power primer. </w:t>
      </w:r>
      <w:r w:rsidRPr="00157F7E">
        <w:rPr>
          <w:i/>
          <w:noProof/>
        </w:rPr>
        <w:t>Psychological Bulletin, 112</w:t>
      </w:r>
      <w:r w:rsidRPr="00157F7E">
        <w:rPr>
          <w:noProof/>
        </w:rPr>
        <w:t>, 155-159. doi:10.1037/0033-2909.112.1.155</w:t>
      </w:r>
    </w:p>
    <w:p w14:paraId="4C719143" w14:textId="77777777" w:rsidR="00157F7E" w:rsidRPr="00157F7E" w:rsidRDefault="00157F7E" w:rsidP="00157F7E">
      <w:pPr>
        <w:pStyle w:val="EndNoteBibliography"/>
        <w:ind w:left="720" w:hanging="720"/>
        <w:rPr>
          <w:noProof/>
        </w:rPr>
      </w:pPr>
      <w:r w:rsidRPr="00157F7E">
        <w:rPr>
          <w:noProof/>
        </w:rPr>
        <w:t xml:space="preserve">DeCoster, J., Sparks, E. A., Sparks, J. C., Sparks, G. G., &amp; Sparks, C. W. (2015). Opportunistic biases: Their origins, effects, and an integrated solution. </w:t>
      </w:r>
      <w:r w:rsidRPr="00157F7E">
        <w:rPr>
          <w:i/>
          <w:noProof/>
        </w:rPr>
        <w:t>American Psychologist, 70</w:t>
      </w:r>
      <w:r w:rsidRPr="00157F7E">
        <w:rPr>
          <w:noProof/>
        </w:rPr>
        <w:t>, 499-514. doi:10.1037/a0039191</w:t>
      </w:r>
    </w:p>
    <w:p w14:paraId="445D0123" w14:textId="77777777" w:rsidR="00157F7E" w:rsidRPr="00157F7E" w:rsidRDefault="00157F7E" w:rsidP="00157F7E">
      <w:pPr>
        <w:pStyle w:val="EndNoteBibliography"/>
        <w:ind w:left="720" w:hanging="720"/>
        <w:rPr>
          <w:noProof/>
        </w:rPr>
      </w:pPr>
      <w:r w:rsidRPr="00157F7E">
        <w:rPr>
          <w:noProof/>
        </w:rPr>
        <w:t xml:space="preserve">Egger, M., Smith, G. D., Schneider, M., &amp; Minder, C. (1997). Bias in meta-analysis detected by a simple, graphical test. </w:t>
      </w:r>
      <w:r w:rsidRPr="00157F7E">
        <w:rPr>
          <w:i/>
          <w:noProof/>
        </w:rPr>
        <w:t>BMJ, 315</w:t>
      </w:r>
      <w:r w:rsidRPr="00157F7E">
        <w:rPr>
          <w:noProof/>
        </w:rPr>
        <w:t xml:space="preserve">, 629. </w:t>
      </w:r>
    </w:p>
    <w:p w14:paraId="33167C24" w14:textId="77777777" w:rsidR="00157F7E" w:rsidRPr="00157F7E" w:rsidRDefault="00157F7E" w:rsidP="00157F7E">
      <w:pPr>
        <w:pStyle w:val="EndNoteBibliography"/>
        <w:ind w:left="720" w:hanging="720"/>
        <w:rPr>
          <w:noProof/>
        </w:rPr>
      </w:pPr>
      <w:r w:rsidRPr="00157F7E">
        <w:rPr>
          <w:noProof/>
        </w:rPr>
        <w:t xml:space="preserve">Fanelli, D. (2009). How Many Scientists Fabricate and Falsify Research? A Systematic Review and Meta-Analysis of Survey Data. </w:t>
      </w:r>
      <w:r w:rsidRPr="00157F7E">
        <w:rPr>
          <w:i/>
          <w:noProof/>
        </w:rPr>
        <w:t>PLOS ONE, 4</w:t>
      </w:r>
      <w:r w:rsidRPr="00157F7E">
        <w:rPr>
          <w:noProof/>
        </w:rPr>
        <w:t>, e5738. doi:10.1371/journal.pone.0005738</w:t>
      </w:r>
    </w:p>
    <w:p w14:paraId="26F4FEF4" w14:textId="77777777" w:rsidR="00157F7E" w:rsidRPr="00157F7E" w:rsidRDefault="00157F7E" w:rsidP="00157F7E">
      <w:pPr>
        <w:pStyle w:val="EndNoteBibliography"/>
        <w:ind w:left="720" w:hanging="720"/>
        <w:rPr>
          <w:noProof/>
        </w:rPr>
      </w:pPr>
      <w:r w:rsidRPr="00157F7E">
        <w:rPr>
          <w:noProof/>
        </w:rPr>
        <w:t xml:space="preserve">Fanelli, D. (2010). “Positive” Results Increase Down the Hierarchy of the Sciences. </w:t>
      </w:r>
      <w:r w:rsidRPr="00157F7E">
        <w:rPr>
          <w:i/>
          <w:noProof/>
        </w:rPr>
        <w:t>PLOS ONE, 5</w:t>
      </w:r>
      <w:r w:rsidRPr="00157F7E">
        <w:rPr>
          <w:noProof/>
        </w:rPr>
        <w:t>, e10068. doi:10.1371/journal.pone.0010068</w:t>
      </w:r>
    </w:p>
    <w:p w14:paraId="135FF37A" w14:textId="77777777" w:rsidR="00157F7E" w:rsidRPr="00157F7E" w:rsidRDefault="00157F7E" w:rsidP="00157F7E">
      <w:pPr>
        <w:pStyle w:val="EndNoteBibliography"/>
        <w:ind w:left="720" w:hanging="720"/>
        <w:rPr>
          <w:noProof/>
        </w:rPr>
      </w:pPr>
      <w:r w:rsidRPr="00157F7E">
        <w:rPr>
          <w:noProof/>
        </w:rPr>
        <w:lastRenderedPageBreak/>
        <w:t xml:space="preserve">Faul, F., Erdfelder, E., Lang, A.-G., &amp; Buchner, A. (2007). G*Power 3: A flexible statistical power analysis program for the social, behavioral, and biomedical sciences. </w:t>
      </w:r>
      <w:r w:rsidRPr="00157F7E">
        <w:rPr>
          <w:i/>
          <w:noProof/>
        </w:rPr>
        <w:t>Behavior Research Methods, 39</w:t>
      </w:r>
      <w:r w:rsidRPr="00157F7E">
        <w:rPr>
          <w:noProof/>
        </w:rPr>
        <w:t>, 175-191. doi:10.3758/bf03193146</w:t>
      </w:r>
    </w:p>
    <w:p w14:paraId="68687DE9" w14:textId="77777777" w:rsidR="00157F7E" w:rsidRPr="00157F7E" w:rsidRDefault="00157F7E" w:rsidP="00157F7E">
      <w:pPr>
        <w:pStyle w:val="EndNoteBibliography"/>
        <w:ind w:left="720" w:hanging="720"/>
        <w:rPr>
          <w:noProof/>
        </w:rPr>
      </w:pPr>
      <w:r w:rsidRPr="00157F7E">
        <w:rPr>
          <w:noProof/>
        </w:rPr>
        <w:t xml:space="preserve">Fraser, H., Parker, T., Nakagawa, S., Barnett, A., &amp; Fidler, F. (2018). Questionable research practices in ecology and evolution. </w:t>
      </w:r>
      <w:r w:rsidRPr="00157F7E">
        <w:rPr>
          <w:i/>
          <w:noProof/>
        </w:rPr>
        <w:t>PLOS ONE, 13</w:t>
      </w:r>
      <w:r w:rsidRPr="00157F7E">
        <w:rPr>
          <w:noProof/>
        </w:rPr>
        <w:t>, e0200303. doi:10.1371/journal.pone.0200303</w:t>
      </w:r>
    </w:p>
    <w:p w14:paraId="451613E0" w14:textId="39376396" w:rsidR="00157F7E" w:rsidRPr="00157F7E" w:rsidRDefault="00157F7E" w:rsidP="00157F7E">
      <w:pPr>
        <w:pStyle w:val="EndNoteBibliography"/>
        <w:ind w:left="720" w:hanging="720"/>
        <w:rPr>
          <w:noProof/>
        </w:rPr>
      </w:pPr>
      <w:r w:rsidRPr="00157F7E">
        <w:rPr>
          <w:noProof/>
        </w:rPr>
        <w:t xml:space="preserve">Gignac, G. E., &amp; Szodorai, E. T. (2016). Effect size guidelines for individual differences researchers. </w:t>
      </w:r>
      <w:r w:rsidRPr="00157F7E">
        <w:rPr>
          <w:i/>
          <w:noProof/>
        </w:rPr>
        <w:t>Personality and Individual Differences, 102</w:t>
      </w:r>
      <w:r w:rsidRPr="00157F7E">
        <w:rPr>
          <w:noProof/>
        </w:rPr>
        <w:t>, 74-78. doi:</w:t>
      </w:r>
      <w:hyperlink r:id="rId22" w:history="1">
        <w:r w:rsidRPr="00157F7E">
          <w:rPr>
            <w:rStyle w:val="Hyperlink"/>
            <w:noProof/>
          </w:rPr>
          <w:t>https://doi.org/10.1016/j.paid.2016.06.069</w:t>
        </w:r>
      </w:hyperlink>
    </w:p>
    <w:p w14:paraId="660BC325" w14:textId="77777777" w:rsidR="00157F7E" w:rsidRPr="00157F7E" w:rsidRDefault="00157F7E" w:rsidP="00157F7E">
      <w:pPr>
        <w:pStyle w:val="EndNoteBibliography"/>
        <w:ind w:left="720" w:hanging="720"/>
        <w:rPr>
          <w:noProof/>
        </w:rPr>
      </w:pPr>
      <w:r w:rsidRPr="00157F7E">
        <w:rPr>
          <w:noProof/>
        </w:rPr>
        <w:t xml:space="preserve">Haase, R. F. (1974). Power analysis of research in counselor education. </w:t>
      </w:r>
      <w:r w:rsidRPr="00157F7E">
        <w:rPr>
          <w:i/>
          <w:noProof/>
        </w:rPr>
        <w:t>Counselor Education and Supervision, 14</w:t>
      </w:r>
      <w:r w:rsidRPr="00157F7E">
        <w:rPr>
          <w:noProof/>
        </w:rPr>
        <w:t xml:space="preserve">, 124-132. </w:t>
      </w:r>
    </w:p>
    <w:p w14:paraId="7C7AC853" w14:textId="77777777" w:rsidR="00157F7E" w:rsidRPr="00157F7E" w:rsidRDefault="00157F7E" w:rsidP="00157F7E">
      <w:pPr>
        <w:pStyle w:val="EndNoteBibliography"/>
        <w:ind w:left="720" w:hanging="720"/>
        <w:rPr>
          <w:noProof/>
        </w:rPr>
      </w:pPr>
      <w:r w:rsidRPr="00157F7E">
        <w:rPr>
          <w:noProof/>
        </w:rPr>
        <w:t xml:space="preserve">Hedges, L. V. (1992). Modeling Publication Selection Effects in Meta-Analysis. </w:t>
      </w:r>
      <w:r w:rsidRPr="00157F7E">
        <w:rPr>
          <w:i/>
          <w:noProof/>
        </w:rPr>
        <w:t>Statistical Science, 7</w:t>
      </w:r>
      <w:r w:rsidRPr="00157F7E">
        <w:rPr>
          <w:noProof/>
        </w:rPr>
        <w:t xml:space="preserve">, 246-255. </w:t>
      </w:r>
    </w:p>
    <w:p w14:paraId="78F6D96A" w14:textId="35E2EF92" w:rsidR="00157F7E" w:rsidRPr="00157F7E" w:rsidRDefault="00157F7E" w:rsidP="00157F7E">
      <w:pPr>
        <w:pStyle w:val="EndNoteBibliography"/>
        <w:ind w:left="720" w:hanging="720"/>
        <w:rPr>
          <w:noProof/>
        </w:rPr>
      </w:pPr>
      <w:r w:rsidRPr="00157F7E">
        <w:rPr>
          <w:noProof/>
        </w:rPr>
        <w:t xml:space="preserve">Hunter, J. E., &amp; Schmidt, F. L. (2004). </w:t>
      </w:r>
      <w:r w:rsidRPr="00157F7E">
        <w:rPr>
          <w:i/>
          <w:noProof/>
        </w:rPr>
        <w:t xml:space="preserve">Methods of Meta-Analysis: Correcting Error and Bias in Research Findings </w:t>
      </w:r>
      <w:r w:rsidRPr="00157F7E">
        <w:rPr>
          <w:noProof/>
        </w:rPr>
        <w:t xml:space="preserve"> Retrieved from </w:t>
      </w:r>
      <w:hyperlink r:id="rId23" w:history="1">
        <w:r w:rsidRPr="00157F7E">
          <w:rPr>
            <w:rStyle w:val="Hyperlink"/>
            <w:noProof/>
          </w:rPr>
          <w:t>http://methods.sagepub.com/book/methods-of-meta-analysis-3e</w:t>
        </w:r>
      </w:hyperlink>
      <w:r w:rsidRPr="00157F7E">
        <w:rPr>
          <w:noProof/>
        </w:rPr>
        <w:t xml:space="preserve"> doi:10.4135/9781483398105</w:t>
      </w:r>
    </w:p>
    <w:p w14:paraId="16BBFAB4" w14:textId="77777777" w:rsidR="00157F7E" w:rsidRPr="00157F7E" w:rsidRDefault="00157F7E" w:rsidP="00157F7E">
      <w:pPr>
        <w:pStyle w:val="EndNoteBibliography"/>
        <w:ind w:left="720" w:hanging="720"/>
        <w:rPr>
          <w:noProof/>
        </w:rPr>
      </w:pPr>
      <w:r w:rsidRPr="00157F7E">
        <w:rPr>
          <w:noProof/>
        </w:rPr>
        <w:t xml:space="preserve">Ioannidis, J. P. A. (2008). Why most discovered true associations are inflated. </w:t>
      </w:r>
      <w:r w:rsidRPr="00157F7E">
        <w:rPr>
          <w:i/>
          <w:noProof/>
        </w:rPr>
        <w:t>Epidemiology, 19</w:t>
      </w:r>
      <w:r w:rsidRPr="00157F7E">
        <w:rPr>
          <w:noProof/>
        </w:rPr>
        <w:t>, 640-648. doi:10.1097/EDE.0b013e31818131e7</w:t>
      </w:r>
    </w:p>
    <w:p w14:paraId="07426E8B" w14:textId="77777777" w:rsidR="00157F7E" w:rsidRPr="00157F7E" w:rsidRDefault="00157F7E" w:rsidP="00157F7E">
      <w:pPr>
        <w:pStyle w:val="EndNoteBibliography"/>
        <w:ind w:left="720" w:hanging="720"/>
        <w:rPr>
          <w:noProof/>
        </w:rPr>
      </w:pPr>
      <w:r w:rsidRPr="00157F7E">
        <w:rPr>
          <w:noProof/>
        </w:rPr>
        <w:t xml:space="preserve">John, L. K., Loewenstein, G., &amp; Prelec, D. (2012). Measuring the Prevalence of Questionable Research Practices With Incentives for Truth Telling. </w:t>
      </w:r>
      <w:r w:rsidRPr="00157F7E">
        <w:rPr>
          <w:i/>
          <w:noProof/>
        </w:rPr>
        <w:t>Psychological Science, 23</w:t>
      </w:r>
      <w:r w:rsidRPr="00157F7E">
        <w:rPr>
          <w:noProof/>
        </w:rPr>
        <w:t>, 524-532. doi:10.1177/0956797611430953</w:t>
      </w:r>
    </w:p>
    <w:p w14:paraId="4B0E0490" w14:textId="77777777" w:rsidR="00157F7E" w:rsidRPr="00157F7E" w:rsidRDefault="00157F7E" w:rsidP="00157F7E">
      <w:pPr>
        <w:pStyle w:val="EndNoteBibliography"/>
        <w:ind w:left="720" w:hanging="720"/>
        <w:rPr>
          <w:noProof/>
        </w:rPr>
      </w:pPr>
      <w:r w:rsidRPr="00157F7E">
        <w:rPr>
          <w:noProof/>
        </w:rPr>
        <w:t xml:space="preserve">Kerr, N. L. (1998). HARKing: Hypothesizing After the Results are Known. </w:t>
      </w:r>
      <w:r w:rsidRPr="00157F7E">
        <w:rPr>
          <w:i/>
          <w:noProof/>
        </w:rPr>
        <w:t>Personality and Social Psychology Review, 2</w:t>
      </w:r>
      <w:r w:rsidRPr="00157F7E">
        <w:rPr>
          <w:noProof/>
        </w:rPr>
        <w:t>, 196-217. doi:10.1207/s15327957pspr0203_4</w:t>
      </w:r>
    </w:p>
    <w:p w14:paraId="6C5F3678" w14:textId="77777777" w:rsidR="00157F7E" w:rsidRPr="00157F7E" w:rsidRDefault="00157F7E" w:rsidP="00157F7E">
      <w:pPr>
        <w:pStyle w:val="EndNoteBibliography"/>
        <w:ind w:left="720" w:hanging="720"/>
        <w:rPr>
          <w:noProof/>
        </w:rPr>
      </w:pPr>
      <w:r w:rsidRPr="00157F7E">
        <w:rPr>
          <w:noProof/>
        </w:rPr>
        <w:t xml:space="preserve">LeBel, E. P., McCarthy, R. J., Earp, B. D., Elson, M., &amp; Vanpaemel, W. (2018). A Unified Framework to Quantify the Credibility of Scientific Findings. </w:t>
      </w:r>
      <w:r w:rsidRPr="00157F7E">
        <w:rPr>
          <w:i/>
          <w:noProof/>
        </w:rPr>
        <w:t>Advances In Methods and Practices in Psychological Science</w:t>
      </w:r>
      <w:r w:rsidRPr="00157F7E">
        <w:rPr>
          <w:noProof/>
        </w:rPr>
        <w:t>, 2515245918787489. doi:10.1177/2515245918787489</w:t>
      </w:r>
    </w:p>
    <w:p w14:paraId="083C3203" w14:textId="77777777" w:rsidR="00157F7E" w:rsidRPr="00157F7E" w:rsidRDefault="00157F7E" w:rsidP="00157F7E">
      <w:pPr>
        <w:pStyle w:val="EndNoteBibliography"/>
        <w:ind w:left="720" w:hanging="720"/>
        <w:rPr>
          <w:noProof/>
        </w:rPr>
      </w:pPr>
      <w:r w:rsidRPr="00157F7E">
        <w:rPr>
          <w:noProof/>
        </w:rPr>
        <w:t xml:space="preserve">Marín-Martínez, F., &amp; Sánchez-Meca, J. (2009). Weighting by Inverse Variance or by Sample Size in Random-Effects Meta-Analysis. </w:t>
      </w:r>
      <w:r w:rsidRPr="00157F7E">
        <w:rPr>
          <w:i/>
          <w:noProof/>
        </w:rPr>
        <w:t>Educational and psychological measurement, 70</w:t>
      </w:r>
      <w:r w:rsidRPr="00157F7E">
        <w:rPr>
          <w:noProof/>
        </w:rPr>
        <w:t>, 56-73. doi:10.1177/0013164409344534</w:t>
      </w:r>
    </w:p>
    <w:p w14:paraId="320307E3" w14:textId="77777777" w:rsidR="00157F7E" w:rsidRPr="00157F7E" w:rsidRDefault="00157F7E" w:rsidP="00157F7E">
      <w:pPr>
        <w:pStyle w:val="EndNoteBibliography"/>
        <w:ind w:left="720" w:hanging="720"/>
        <w:rPr>
          <w:noProof/>
        </w:rPr>
      </w:pPr>
      <w:r w:rsidRPr="00157F7E">
        <w:rPr>
          <w:noProof/>
        </w:rPr>
        <w:t xml:space="preserve">Maxwell, S. E., Kelley, K., &amp; Rausch, J. R. (2007). Sample Size Planning for Statistical Power and Accuracy in Parameter Estimation. </w:t>
      </w:r>
      <w:r w:rsidRPr="00157F7E">
        <w:rPr>
          <w:i/>
          <w:noProof/>
        </w:rPr>
        <w:t>Annual Review of Psychology, 59</w:t>
      </w:r>
      <w:r w:rsidRPr="00157F7E">
        <w:rPr>
          <w:noProof/>
        </w:rPr>
        <w:t>, 537-563. doi:10.1146/annurev.psych.59.103006.093735</w:t>
      </w:r>
    </w:p>
    <w:p w14:paraId="289ED285" w14:textId="77777777" w:rsidR="00157F7E" w:rsidRPr="00157F7E" w:rsidRDefault="00157F7E" w:rsidP="00157F7E">
      <w:pPr>
        <w:pStyle w:val="EndNoteBibliography"/>
        <w:ind w:left="720" w:hanging="720"/>
        <w:rPr>
          <w:noProof/>
        </w:rPr>
      </w:pPr>
      <w:r w:rsidRPr="00157F7E">
        <w:rPr>
          <w:noProof/>
        </w:rPr>
        <w:t xml:space="preserve">Maxwell, S. E., Lau, M. Y., &amp; Howard, G. S. (2015). Is psychology suffering from a replication crisis? What does “failure to replicate” really mean? </w:t>
      </w:r>
      <w:r w:rsidRPr="00157F7E">
        <w:rPr>
          <w:i/>
          <w:noProof/>
        </w:rPr>
        <w:t>American Psychologist, 70</w:t>
      </w:r>
      <w:r w:rsidRPr="00157F7E">
        <w:rPr>
          <w:noProof/>
        </w:rPr>
        <w:t>, 487-498. doi:10.1037/a0039400</w:t>
      </w:r>
    </w:p>
    <w:p w14:paraId="67CFC99C" w14:textId="77777777" w:rsidR="00157F7E" w:rsidRPr="00157F7E" w:rsidRDefault="00157F7E" w:rsidP="00157F7E">
      <w:pPr>
        <w:pStyle w:val="EndNoteBibliography"/>
        <w:ind w:left="720" w:hanging="720"/>
        <w:rPr>
          <w:noProof/>
        </w:rPr>
      </w:pPr>
      <w:r w:rsidRPr="00157F7E">
        <w:rPr>
          <w:noProof/>
        </w:rPr>
        <w:t xml:space="preserve">Miller, J. J. (1978). The Inverse of the Freeman – Tukey Double Arcsine Transformation. </w:t>
      </w:r>
      <w:r w:rsidRPr="00157F7E">
        <w:rPr>
          <w:i/>
          <w:noProof/>
        </w:rPr>
        <w:t>The American Statistician, 32</w:t>
      </w:r>
      <w:r w:rsidRPr="00157F7E">
        <w:rPr>
          <w:noProof/>
        </w:rPr>
        <w:t>, 138-138. doi:10.1080/00031305.1978.10479283</w:t>
      </w:r>
    </w:p>
    <w:p w14:paraId="0C0B14DB" w14:textId="77777777" w:rsidR="00157F7E" w:rsidRPr="00157F7E" w:rsidRDefault="00157F7E" w:rsidP="00157F7E">
      <w:pPr>
        <w:pStyle w:val="EndNoteBibliography"/>
        <w:ind w:left="720" w:hanging="720"/>
        <w:rPr>
          <w:noProof/>
        </w:rPr>
      </w:pPr>
      <w:r w:rsidRPr="00157F7E">
        <w:rPr>
          <w:noProof/>
        </w:rPr>
        <w:t xml:space="preserve">Moher, D., Hopewell, S., Schulz, K. F., Montori, V., Gøtzsche, P. C., Devereaux, P. J., . . . Altman, D. G. (2010). CONSORT 2010 Explanation and Elaboration: Updated guidelines for reporting parallel group randomised trials. </w:t>
      </w:r>
      <w:r w:rsidRPr="00157F7E">
        <w:rPr>
          <w:i/>
          <w:noProof/>
        </w:rPr>
        <w:t>Journal of Clinical Epidemiology, 63</w:t>
      </w:r>
      <w:r w:rsidRPr="00157F7E">
        <w:rPr>
          <w:noProof/>
        </w:rPr>
        <w:t>, e1-e37. doi:10.1016/j.jclinepi.2010.03.004</w:t>
      </w:r>
    </w:p>
    <w:p w14:paraId="3BF05470" w14:textId="77777777" w:rsidR="00157F7E" w:rsidRPr="00157F7E" w:rsidRDefault="00157F7E" w:rsidP="00157F7E">
      <w:pPr>
        <w:pStyle w:val="EndNoteBibliography"/>
        <w:ind w:left="720" w:hanging="720"/>
        <w:rPr>
          <w:noProof/>
        </w:rPr>
      </w:pPr>
      <w:r w:rsidRPr="00157F7E">
        <w:rPr>
          <w:noProof/>
        </w:rPr>
        <w:t xml:space="preserve">Moher, D., Schulz, K. F., &amp; Altman, D. G. (2001). The CONSORT statement: revised recommendations for improving the quality of reports of parallel group randomized trials. </w:t>
      </w:r>
      <w:r w:rsidRPr="00157F7E">
        <w:rPr>
          <w:i/>
          <w:noProof/>
        </w:rPr>
        <w:t>BMC Medical Research Methodology, 1</w:t>
      </w:r>
      <w:r w:rsidRPr="00157F7E">
        <w:rPr>
          <w:noProof/>
        </w:rPr>
        <w:t>, 2. doi:10.1186/1471-2288-1-2</w:t>
      </w:r>
    </w:p>
    <w:p w14:paraId="144C9752" w14:textId="77777777" w:rsidR="00157F7E" w:rsidRPr="00157F7E" w:rsidRDefault="00157F7E" w:rsidP="00157F7E">
      <w:pPr>
        <w:pStyle w:val="EndNoteBibliography"/>
        <w:ind w:left="720" w:hanging="720"/>
        <w:rPr>
          <w:noProof/>
        </w:rPr>
      </w:pPr>
      <w:r w:rsidRPr="00157F7E">
        <w:rPr>
          <w:noProof/>
        </w:rPr>
        <w:lastRenderedPageBreak/>
        <w:t xml:space="preserve">Obrecht, N. A., Chapman, G. B., &amp; Gelman, R. (2007). Intuitive tests: Lay use of statistical information. </w:t>
      </w:r>
      <w:r w:rsidRPr="00157F7E">
        <w:rPr>
          <w:i/>
          <w:noProof/>
        </w:rPr>
        <w:t>Psychonomic Bulletin &amp; Review, 14</w:t>
      </w:r>
      <w:r w:rsidRPr="00157F7E">
        <w:rPr>
          <w:noProof/>
        </w:rPr>
        <w:t>, 1147-1152. doi:10.3758/BF03193104</w:t>
      </w:r>
    </w:p>
    <w:p w14:paraId="76F116C9" w14:textId="77777777" w:rsidR="00157F7E" w:rsidRPr="00157F7E" w:rsidRDefault="00157F7E" w:rsidP="00157F7E">
      <w:pPr>
        <w:pStyle w:val="EndNoteBibliography"/>
        <w:ind w:left="720" w:hanging="720"/>
        <w:rPr>
          <w:noProof/>
        </w:rPr>
      </w:pPr>
      <w:r w:rsidRPr="00157F7E">
        <w:rPr>
          <w:noProof/>
        </w:rPr>
        <w:t xml:space="preserve">Orme, J. G., &amp; Combs-Orme, T. D. (1986). Statistical power and Type II errors in social work research. </w:t>
      </w:r>
      <w:r w:rsidRPr="00157F7E">
        <w:rPr>
          <w:i/>
          <w:noProof/>
        </w:rPr>
        <w:t>Social Work Research and Abstracts, 22</w:t>
      </w:r>
      <w:r w:rsidRPr="00157F7E">
        <w:rPr>
          <w:noProof/>
        </w:rPr>
        <w:t>, 3-10. doi:10.1093/swra/22.3.3</w:t>
      </w:r>
    </w:p>
    <w:p w14:paraId="2C071844" w14:textId="7D7F7631" w:rsidR="00157F7E" w:rsidRPr="00157F7E" w:rsidRDefault="00157F7E" w:rsidP="00157F7E">
      <w:pPr>
        <w:pStyle w:val="EndNoteBibliography"/>
        <w:ind w:left="720" w:hanging="720"/>
        <w:rPr>
          <w:noProof/>
        </w:rPr>
      </w:pPr>
      <w:r w:rsidRPr="00157F7E">
        <w:rPr>
          <w:noProof/>
        </w:rPr>
        <w:t xml:space="preserve">Poisot, T. (2010). Getting data from an image </w:t>
      </w:r>
      <w:r w:rsidRPr="00157F7E">
        <w:rPr>
          <w:i/>
          <w:noProof/>
        </w:rPr>
        <w:t>Data visualization (in R).</w:t>
      </w:r>
      <w:r w:rsidRPr="00157F7E">
        <w:rPr>
          <w:noProof/>
        </w:rPr>
        <w:t xml:space="preserve">  Retrieved from </w:t>
      </w:r>
      <w:hyperlink r:id="rId24" w:history="1">
        <w:r w:rsidRPr="00157F7E">
          <w:rPr>
            <w:rStyle w:val="Hyperlink"/>
            <w:noProof/>
          </w:rPr>
          <w:t>https://rdataviz.wordpress.com/2010/03/05/getting-data-from-an-image-introductory-post/</w:t>
        </w:r>
      </w:hyperlink>
    </w:p>
    <w:p w14:paraId="48743913" w14:textId="77777777" w:rsidR="00157F7E" w:rsidRPr="00157F7E" w:rsidRDefault="00157F7E" w:rsidP="00157F7E">
      <w:pPr>
        <w:pStyle w:val="EndNoteBibliography"/>
        <w:ind w:left="720" w:hanging="720"/>
        <w:rPr>
          <w:noProof/>
        </w:rPr>
      </w:pPr>
      <w:r w:rsidRPr="00157F7E">
        <w:rPr>
          <w:noProof/>
        </w:rPr>
        <w:t xml:space="preserve">Quintana, D. S. (2017). Statistical considerations for reporting and planning heart rate variability case‐control studies. </w:t>
      </w:r>
      <w:r w:rsidRPr="00157F7E">
        <w:rPr>
          <w:i/>
          <w:noProof/>
        </w:rPr>
        <w:t>Psychophysiology, 54</w:t>
      </w:r>
      <w:r w:rsidRPr="00157F7E">
        <w:rPr>
          <w:noProof/>
        </w:rPr>
        <w:t xml:space="preserve">, 344-349. </w:t>
      </w:r>
    </w:p>
    <w:p w14:paraId="621ED064" w14:textId="1E3605E8" w:rsidR="00157F7E" w:rsidRPr="00157F7E" w:rsidRDefault="00157F7E" w:rsidP="00157F7E">
      <w:pPr>
        <w:pStyle w:val="EndNoteBibliography"/>
        <w:ind w:left="720" w:hanging="720"/>
        <w:rPr>
          <w:noProof/>
        </w:rPr>
      </w:pPr>
      <w:r w:rsidRPr="00157F7E">
        <w:rPr>
          <w:noProof/>
        </w:rPr>
        <w:t xml:space="preserve">R Development Core Team. (2018). R: A language and environment for statistical computing (Version 3.5.0). Vienna, Austria: R Foundation for Statistical Computing. Retrieved from </w:t>
      </w:r>
      <w:hyperlink r:id="rId25" w:history="1">
        <w:r w:rsidRPr="00157F7E">
          <w:rPr>
            <w:rStyle w:val="Hyperlink"/>
            <w:noProof/>
          </w:rPr>
          <w:t>http://www.R-project.org</w:t>
        </w:r>
      </w:hyperlink>
    </w:p>
    <w:p w14:paraId="12A0AFAC" w14:textId="77777777" w:rsidR="00157F7E" w:rsidRPr="00157F7E" w:rsidRDefault="00157F7E" w:rsidP="00157F7E">
      <w:pPr>
        <w:pStyle w:val="EndNoteBibliography"/>
        <w:ind w:left="720" w:hanging="720"/>
        <w:rPr>
          <w:noProof/>
        </w:rPr>
      </w:pPr>
      <w:r w:rsidRPr="00157F7E">
        <w:rPr>
          <w:noProof/>
        </w:rPr>
        <w:t xml:space="preserve">Rossi, J. S. (1990). Statistical power of psychological research: what have we gained in 20 years? </w:t>
      </w:r>
      <w:r w:rsidRPr="00157F7E">
        <w:rPr>
          <w:i/>
          <w:noProof/>
        </w:rPr>
        <w:t>J Consult Clin Psychol, 58</w:t>
      </w:r>
      <w:r w:rsidRPr="00157F7E">
        <w:rPr>
          <w:noProof/>
        </w:rPr>
        <w:t xml:space="preserve">, 646-656. </w:t>
      </w:r>
    </w:p>
    <w:p w14:paraId="6ABAC0BD" w14:textId="77777777" w:rsidR="00157F7E" w:rsidRPr="00157F7E" w:rsidRDefault="00157F7E" w:rsidP="00157F7E">
      <w:pPr>
        <w:pStyle w:val="EndNoteBibliography"/>
        <w:ind w:left="720" w:hanging="720"/>
        <w:rPr>
          <w:noProof/>
        </w:rPr>
      </w:pPr>
      <w:r w:rsidRPr="00157F7E">
        <w:rPr>
          <w:noProof/>
        </w:rPr>
        <w:t xml:space="preserve">Schönbrodt, F. D., &amp; Wagenmakers, E.-J. (2017). Bayes factor design analysis: Planning for compelling evidence. </w:t>
      </w:r>
      <w:r w:rsidRPr="00157F7E">
        <w:rPr>
          <w:i/>
          <w:noProof/>
        </w:rPr>
        <w:t>Psychonomic Bulletin &amp; Review</w:t>
      </w:r>
      <w:r w:rsidRPr="00157F7E">
        <w:rPr>
          <w:noProof/>
        </w:rPr>
        <w:t>. doi:10.3758/s13423-017-1230-y</w:t>
      </w:r>
    </w:p>
    <w:p w14:paraId="65544027" w14:textId="77777777" w:rsidR="00157F7E" w:rsidRPr="00157F7E" w:rsidRDefault="00157F7E" w:rsidP="00157F7E">
      <w:pPr>
        <w:pStyle w:val="EndNoteBibliography"/>
        <w:ind w:left="720" w:hanging="720"/>
        <w:rPr>
          <w:noProof/>
        </w:rPr>
      </w:pPr>
      <w:r w:rsidRPr="00157F7E">
        <w:rPr>
          <w:noProof/>
        </w:rPr>
        <w:t xml:space="preserve">Sedlmeier, P., &amp; Gigerenzer, G. (1989). Do studies of statistical power have an effect on the power of studies? </w:t>
      </w:r>
      <w:r w:rsidRPr="00157F7E">
        <w:rPr>
          <w:i/>
          <w:noProof/>
        </w:rPr>
        <w:t>Psychological Bulletin, 105</w:t>
      </w:r>
      <w:r w:rsidRPr="00157F7E">
        <w:rPr>
          <w:noProof/>
        </w:rPr>
        <w:t>, 309-316. doi:10.1037/0033-2909.105.2.309</w:t>
      </w:r>
    </w:p>
    <w:p w14:paraId="3AE35A4D" w14:textId="77777777" w:rsidR="00157F7E" w:rsidRPr="00157F7E" w:rsidRDefault="00157F7E" w:rsidP="00157F7E">
      <w:pPr>
        <w:pStyle w:val="EndNoteBibliography"/>
        <w:ind w:left="720" w:hanging="720"/>
        <w:rPr>
          <w:noProof/>
        </w:rPr>
      </w:pPr>
      <w:r w:rsidRPr="00157F7E">
        <w:rPr>
          <w:noProof/>
        </w:rPr>
        <w:t xml:space="preserve">Smith, D. R., Hardy, I. C., &amp; Gammell, M. P. (2011). Power rangers: No improvement in the statistical power of analyses published in Animal Behaviour. </w:t>
      </w:r>
      <w:r w:rsidRPr="00157F7E">
        <w:rPr>
          <w:i/>
          <w:noProof/>
        </w:rPr>
        <w:t>Animal Behaviour, 81</w:t>
      </w:r>
      <w:r w:rsidRPr="00157F7E">
        <w:rPr>
          <w:noProof/>
        </w:rPr>
        <w:t xml:space="preserve">, 347-352. </w:t>
      </w:r>
    </w:p>
    <w:p w14:paraId="2037CD72" w14:textId="77777777" w:rsidR="00157F7E" w:rsidRPr="00157F7E" w:rsidRDefault="00157F7E" w:rsidP="00157F7E">
      <w:pPr>
        <w:pStyle w:val="EndNoteBibliography"/>
        <w:ind w:left="720" w:hanging="720"/>
        <w:rPr>
          <w:noProof/>
        </w:rPr>
      </w:pPr>
      <w:r w:rsidRPr="00157F7E">
        <w:rPr>
          <w:noProof/>
        </w:rPr>
        <w:t xml:space="preserve">Snijders, T. A., &amp; Bosker, R. J. (1993). Standard errors and sample sizes for two-level research. </w:t>
      </w:r>
      <w:r w:rsidRPr="00157F7E">
        <w:rPr>
          <w:i/>
          <w:noProof/>
        </w:rPr>
        <w:t>Journal of Educational Statistics, 18</w:t>
      </w:r>
      <w:r w:rsidRPr="00157F7E">
        <w:rPr>
          <w:noProof/>
        </w:rPr>
        <w:t>, 237-259. doi:10.2307/1165134</w:t>
      </w:r>
    </w:p>
    <w:p w14:paraId="78768917" w14:textId="77777777" w:rsidR="00157F7E" w:rsidRPr="00157F7E" w:rsidRDefault="00157F7E" w:rsidP="00157F7E">
      <w:pPr>
        <w:pStyle w:val="EndNoteBibliography"/>
        <w:ind w:left="720" w:hanging="720"/>
        <w:rPr>
          <w:noProof/>
        </w:rPr>
      </w:pPr>
      <w:r w:rsidRPr="00157F7E">
        <w:rPr>
          <w:noProof/>
        </w:rPr>
        <w:t xml:space="preserve">Szucs, D., &amp; Ioannidis, J. P. A. (2017). Empirical assessment of published effect sizes and power in the recent cognitive neuroscience and psychology literature. </w:t>
      </w:r>
      <w:r w:rsidRPr="00157F7E">
        <w:rPr>
          <w:i/>
          <w:noProof/>
        </w:rPr>
        <w:t>PLOS Biology, 15</w:t>
      </w:r>
      <w:r w:rsidRPr="00157F7E">
        <w:rPr>
          <w:noProof/>
        </w:rPr>
        <w:t>, e2000797. doi:10.1371/journal.pbio.2000797</w:t>
      </w:r>
    </w:p>
    <w:p w14:paraId="40A01F12" w14:textId="77777777" w:rsidR="00157F7E" w:rsidRPr="00157F7E" w:rsidRDefault="00157F7E" w:rsidP="00157F7E">
      <w:pPr>
        <w:pStyle w:val="EndNoteBibliography"/>
        <w:ind w:left="720" w:hanging="720"/>
        <w:rPr>
          <w:noProof/>
        </w:rPr>
      </w:pPr>
      <w:r w:rsidRPr="00157F7E">
        <w:rPr>
          <w:noProof/>
        </w:rPr>
        <w:t xml:space="preserve">Van Meter, E., &amp; Charnigo, R. (2014). Strengthening Interactions between Statisticians and Collaborators: Objectives and Sample Sizes. </w:t>
      </w:r>
      <w:r w:rsidRPr="00157F7E">
        <w:rPr>
          <w:i/>
          <w:noProof/>
        </w:rPr>
        <w:t>Journal of biometrics &amp; biostatistics, 5</w:t>
      </w:r>
      <w:r w:rsidRPr="00157F7E">
        <w:rPr>
          <w:noProof/>
        </w:rPr>
        <w:t>, e127. doi:10.4172/2155-6180.1000e127</w:t>
      </w:r>
    </w:p>
    <w:p w14:paraId="53417820" w14:textId="77777777" w:rsidR="00157F7E" w:rsidRPr="00157F7E" w:rsidRDefault="00157F7E" w:rsidP="00157F7E">
      <w:pPr>
        <w:pStyle w:val="EndNoteBibliography"/>
        <w:ind w:left="720" w:hanging="720"/>
        <w:rPr>
          <w:noProof/>
        </w:rPr>
      </w:pPr>
      <w:r w:rsidRPr="00157F7E">
        <w:rPr>
          <w:noProof/>
        </w:rPr>
        <w:t xml:space="preserve">Viechtbauer, W. (2010). Conducting Meta-Analyses in R with the metafor Package. </w:t>
      </w:r>
      <w:r w:rsidRPr="00157F7E">
        <w:rPr>
          <w:i/>
          <w:noProof/>
        </w:rPr>
        <w:t>Journal Of Statistical Software, 36</w:t>
      </w:r>
      <w:r w:rsidRPr="00157F7E">
        <w:rPr>
          <w:noProof/>
        </w:rPr>
        <w:t>, 48. doi:10.18637/jss.v036.i03</w:t>
      </w:r>
    </w:p>
    <w:p w14:paraId="3F7F2DBD" w14:textId="77777777" w:rsidR="00157F7E" w:rsidRPr="00157F7E" w:rsidRDefault="00157F7E" w:rsidP="00157F7E">
      <w:pPr>
        <w:pStyle w:val="EndNoteBibliography"/>
        <w:ind w:left="720" w:hanging="720"/>
        <w:rPr>
          <w:noProof/>
        </w:rPr>
      </w:pPr>
      <w:r w:rsidRPr="00157F7E">
        <w:rPr>
          <w:noProof/>
        </w:rPr>
        <w:t xml:space="preserve">Wagenmakers, E.-J., Verhagen, J., Ly, A., Bakker, M., Lee, M. D., Matzke, D., . . . Morey, R. D. (2015). A power fallacy. </w:t>
      </w:r>
      <w:r w:rsidRPr="00157F7E">
        <w:rPr>
          <w:i/>
          <w:noProof/>
        </w:rPr>
        <w:t>Behavior Research Methods, 47</w:t>
      </w:r>
      <w:r w:rsidRPr="00157F7E">
        <w:rPr>
          <w:noProof/>
        </w:rPr>
        <w:t>, 913-917. doi:10.3758/s13428-014-0517-4</w:t>
      </w:r>
    </w:p>
    <w:p w14:paraId="740DC26F" w14:textId="77777777" w:rsidR="00157F7E" w:rsidRPr="00157F7E" w:rsidRDefault="00157F7E" w:rsidP="00157F7E">
      <w:pPr>
        <w:pStyle w:val="EndNoteBibliography"/>
        <w:ind w:left="720" w:hanging="720"/>
        <w:rPr>
          <w:noProof/>
        </w:rPr>
      </w:pPr>
      <w:r w:rsidRPr="00157F7E">
        <w:rPr>
          <w:noProof/>
        </w:rPr>
        <w:t xml:space="preserve">Wan, X., Wang, W., Liu, J., &amp; Tong, T. (2014). Estimating the sample mean and standard deviation from the sample size, median, range and/or interquartile range. </w:t>
      </w:r>
      <w:r w:rsidRPr="00157F7E">
        <w:rPr>
          <w:i/>
          <w:noProof/>
        </w:rPr>
        <w:t>BMC Medical Research Methodology, 14</w:t>
      </w:r>
      <w:r w:rsidRPr="00157F7E">
        <w:rPr>
          <w:noProof/>
        </w:rPr>
        <w:t>, 135. doi:10.1186/1471-2288-14-135</w:t>
      </w:r>
    </w:p>
    <w:p w14:paraId="1584F524" w14:textId="1E569699" w:rsidR="00157F7E" w:rsidRPr="00157F7E" w:rsidRDefault="00157F7E" w:rsidP="00157F7E">
      <w:pPr>
        <w:pStyle w:val="EndNoteBibliography"/>
        <w:ind w:left="720" w:hanging="720"/>
        <w:rPr>
          <w:noProof/>
        </w:rPr>
      </w:pPr>
      <w:r w:rsidRPr="00157F7E">
        <w:rPr>
          <w:noProof/>
        </w:rPr>
        <w:t xml:space="preserve">Westfall, J. (2015). PANGEA: Power ANalysis for GEneral Anova designs. </w:t>
      </w:r>
      <w:r w:rsidRPr="00157F7E">
        <w:rPr>
          <w:i/>
          <w:noProof/>
        </w:rPr>
        <w:t xml:space="preserve">Unpublished manuscript. Available at </w:t>
      </w:r>
      <w:hyperlink r:id="rId26" w:history="1">
        <w:r w:rsidRPr="00157F7E">
          <w:rPr>
            <w:rStyle w:val="Hyperlink"/>
            <w:i/>
            <w:noProof/>
          </w:rPr>
          <w:t>http://jakewestfall.org/publications/pangea.pdf</w:t>
        </w:r>
      </w:hyperlink>
      <w:r w:rsidRPr="00157F7E">
        <w:rPr>
          <w:noProof/>
        </w:rPr>
        <w:t xml:space="preserve">. </w:t>
      </w:r>
    </w:p>
    <w:p w14:paraId="58DD0AA5" w14:textId="77777777" w:rsidR="00157F7E" w:rsidRPr="00157F7E" w:rsidRDefault="00157F7E" w:rsidP="00157F7E">
      <w:pPr>
        <w:pStyle w:val="EndNoteBibliography"/>
        <w:ind w:left="720" w:hanging="720"/>
        <w:rPr>
          <w:noProof/>
        </w:rPr>
      </w:pPr>
      <w:r w:rsidRPr="00157F7E">
        <w:rPr>
          <w:noProof/>
        </w:rPr>
        <w:t xml:space="preserve">Wicherts, J. M., Veldkamp, C. L. S., Augusteijn, H. E. M., Bakker, M., van Aert, R. C. M., &amp; van Assen, M. A. L. M. (2016). Degrees of Freedom in Planning, Running, Analyzing, and Reporting Psychological Studies: A Checklist to Avoid p-Hacking. </w:t>
      </w:r>
      <w:r w:rsidRPr="00157F7E">
        <w:rPr>
          <w:i/>
          <w:noProof/>
        </w:rPr>
        <w:t>Frontiers in Psychology, 7</w:t>
      </w:r>
      <w:r w:rsidRPr="00157F7E">
        <w:rPr>
          <w:noProof/>
        </w:rPr>
        <w:t>, 1832. doi:10.3389/fpsyg.2016.01832</w:t>
      </w:r>
    </w:p>
    <w:p w14:paraId="79E7F06D" w14:textId="77777777" w:rsidR="00157F7E" w:rsidRPr="00157F7E" w:rsidRDefault="00157F7E" w:rsidP="00157F7E">
      <w:pPr>
        <w:pStyle w:val="EndNoteBibliography"/>
        <w:ind w:left="720" w:hanging="720"/>
        <w:rPr>
          <w:noProof/>
        </w:rPr>
      </w:pPr>
      <w:r w:rsidRPr="00157F7E">
        <w:rPr>
          <w:noProof/>
        </w:rPr>
        <w:lastRenderedPageBreak/>
        <w:t xml:space="preserve">Wilkinson, L. (1999). Statistical methods in psychology journals: Guidelines and explanations. </w:t>
      </w:r>
      <w:r w:rsidRPr="00157F7E">
        <w:rPr>
          <w:i/>
          <w:noProof/>
        </w:rPr>
        <w:t>American Psychologist, 54</w:t>
      </w:r>
      <w:r w:rsidRPr="00157F7E">
        <w:rPr>
          <w:noProof/>
        </w:rPr>
        <w:t>, 594-604. doi:10.1037/0003-066X.54.8.594</w:t>
      </w:r>
    </w:p>
    <w:p w14:paraId="4C238B9A" w14:textId="77777777" w:rsidR="00157F7E" w:rsidRPr="00157F7E" w:rsidRDefault="00157F7E" w:rsidP="00157F7E">
      <w:pPr>
        <w:pStyle w:val="EndNoteBibliography"/>
        <w:ind w:left="720" w:hanging="720"/>
        <w:rPr>
          <w:noProof/>
        </w:rPr>
      </w:pPr>
      <w:r w:rsidRPr="00157F7E">
        <w:rPr>
          <w:noProof/>
        </w:rPr>
        <w:t xml:space="preserve">Woolley, T. W. (1983). A comprehensive power-analytic investigation of research in medical education. </w:t>
      </w:r>
      <w:r w:rsidRPr="00157F7E">
        <w:rPr>
          <w:i/>
          <w:noProof/>
        </w:rPr>
        <w:t>Journal of Medical Education, 58</w:t>
      </w:r>
      <w:r w:rsidRPr="00157F7E">
        <w:rPr>
          <w:noProof/>
        </w:rPr>
        <w:t xml:space="preserve">, 710-715. </w:t>
      </w:r>
    </w:p>
    <w:p w14:paraId="7DF80B48" w14:textId="50B1B2C2"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72F5AA70" w14:textId="7017260A"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p>
    <w:bookmarkEnd w:id="7"/>
    <w:p w14:paraId="5F0421A6" w14:textId="5EF44ECF" w:rsidR="009070DE" w:rsidRPr="004422F7" w:rsidRDefault="009070DE" w:rsidP="00955078">
      <w:pPr>
        <w:spacing w:line="360" w:lineRule="auto"/>
        <w:rPr>
          <w:rFonts w:cstheme="minorHAnsi"/>
        </w:rPr>
      </w:pPr>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0A295E84"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50403A07" w14:textId="12407D63" w:rsidR="0051040E" w:rsidRDefault="0051040E" w:rsidP="0051040E">
      <w:pPr>
        <w:rPr>
          <w:rFonts w:cstheme="minorHAnsi"/>
        </w:rPr>
      </w:pPr>
    </w:p>
    <w:sectPr w:rsidR="0051040E"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70E76" w14:textId="77777777" w:rsidR="005666BB" w:rsidRDefault="005666BB" w:rsidP="0039231C">
      <w:r>
        <w:separator/>
      </w:r>
    </w:p>
  </w:endnote>
  <w:endnote w:type="continuationSeparator" w:id="0">
    <w:p w14:paraId="0F2864C4" w14:textId="77777777" w:rsidR="005666BB" w:rsidRDefault="005666BB"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B3A55" w14:textId="77777777" w:rsidR="005666BB" w:rsidRDefault="005666BB" w:rsidP="0039231C">
      <w:r>
        <w:separator/>
      </w:r>
    </w:p>
  </w:footnote>
  <w:footnote w:type="continuationSeparator" w:id="0">
    <w:p w14:paraId="36DBBC4B" w14:textId="77777777" w:rsidR="005666BB" w:rsidRDefault="005666BB" w:rsidP="0039231C">
      <w:r>
        <w:continuationSeparator/>
      </w:r>
    </w:p>
  </w:footnote>
  <w:footnote w:id="1">
    <w:p w14:paraId="2CB03ED7" w14:textId="6F1992BA" w:rsidR="00A108A6" w:rsidRPr="004823E8" w:rsidRDefault="00A108A6">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5&lt;/item&gt;&lt;item&gt;76&lt;/item&gt;&lt;item&gt;77&lt;/item&gt;&lt;item&gt;81&lt;/item&gt;&lt;item&gt;157&lt;/item&gt;&lt;item&gt;161&lt;/item&gt;&lt;item&gt;213&lt;/item&gt;&lt;item&gt;222&lt;/item&gt;&lt;item&gt;225&lt;/item&gt;&lt;item&gt;295&lt;/item&gt;&lt;item&gt;314&lt;/item&gt;&lt;item&gt;325&lt;/item&gt;&lt;item&gt;443&lt;/item&gt;&lt;item&gt;475&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0&lt;/item&gt;&lt;item&gt;883&lt;/item&gt;&lt;item&gt;915&lt;/item&gt;&lt;item&gt;925&lt;/item&gt;&lt;item&gt;959&lt;/item&gt;&lt;item&gt;961&lt;/item&gt;&lt;item&gt;964&lt;/item&gt;&lt;item&gt;965&lt;/item&gt;&lt;/record-ids&gt;&lt;/item&gt;&lt;/Libraries&gt;"/>
  </w:docVars>
  <w:rsids>
    <w:rsidRoot w:val="00634F68"/>
    <w:rsid w:val="000032C6"/>
    <w:rsid w:val="00005BC5"/>
    <w:rsid w:val="00007273"/>
    <w:rsid w:val="000079C8"/>
    <w:rsid w:val="00007FB7"/>
    <w:rsid w:val="00011106"/>
    <w:rsid w:val="00011B6F"/>
    <w:rsid w:val="00012C03"/>
    <w:rsid w:val="0001413E"/>
    <w:rsid w:val="00015BD0"/>
    <w:rsid w:val="000161CF"/>
    <w:rsid w:val="0001665E"/>
    <w:rsid w:val="00017586"/>
    <w:rsid w:val="000219A2"/>
    <w:rsid w:val="000227AB"/>
    <w:rsid w:val="00023753"/>
    <w:rsid w:val="00024D5A"/>
    <w:rsid w:val="00025385"/>
    <w:rsid w:val="000276D7"/>
    <w:rsid w:val="00030554"/>
    <w:rsid w:val="000339E1"/>
    <w:rsid w:val="000370F7"/>
    <w:rsid w:val="00040C15"/>
    <w:rsid w:val="00041191"/>
    <w:rsid w:val="0004264B"/>
    <w:rsid w:val="000447A5"/>
    <w:rsid w:val="0004509E"/>
    <w:rsid w:val="00045871"/>
    <w:rsid w:val="0004698B"/>
    <w:rsid w:val="00046F15"/>
    <w:rsid w:val="0004700E"/>
    <w:rsid w:val="00051A3D"/>
    <w:rsid w:val="00053175"/>
    <w:rsid w:val="0005446E"/>
    <w:rsid w:val="000551AC"/>
    <w:rsid w:val="00055C2C"/>
    <w:rsid w:val="00057886"/>
    <w:rsid w:val="0006197D"/>
    <w:rsid w:val="00061DE1"/>
    <w:rsid w:val="000622C3"/>
    <w:rsid w:val="00063263"/>
    <w:rsid w:val="00063DE3"/>
    <w:rsid w:val="000659C8"/>
    <w:rsid w:val="00065AAE"/>
    <w:rsid w:val="00066CEE"/>
    <w:rsid w:val="00070EBE"/>
    <w:rsid w:val="00071574"/>
    <w:rsid w:val="00077AD5"/>
    <w:rsid w:val="0008123D"/>
    <w:rsid w:val="000823FA"/>
    <w:rsid w:val="00082D90"/>
    <w:rsid w:val="00083A1D"/>
    <w:rsid w:val="00084024"/>
    <w:rsid w:val="000848A5"/>
    <w:rsid w:val="000868DF"/>
    <w:rsid w:val="00086C43"/>
    <w:rsid w:val="000908C1"/>
    <w:rsid w:val="00090AF1"/>
    <w:rsid w:val="000920BF"/>
    <w:rsid w:val="000A2D65"/>
    <w:rsid w:val="000A506B"/>
    <w:rsid w:val="000A77AE"/>
    <w:rsid w:val="000A7C0E"/>
    <w:rsid w:val="000B0615"/>
    <w:rsid w:val="000B2362"/>
    <w:rsid w:val="000B3931"/>
    <w:rsid w:val="000B75EF"/>
    <w:rsid w:val="000C23F2"/>
    <w:rsid w:val="000C32E0"/>
    <w:rsid w:val="000C33BC"/>
    <w:rsid w:val="000C4D48"/>
    <w:rsid w:val="000C54CD"/>
    <w:rsid w:val="000C5B35"/>
    <w:rsid w:val="000C601F"/>
    <w:rsid w:val="000D0599"/>
    <w:rsid w:val="000D09F1"/>
    <w:rsid w:val="000D0C7E"/>
    <w:rsid w:val="000D43B2"/>
    <w:rsid w:val="000D71DA"/>
    <w:rsid w:val="000E090B"/>
    <w:rsid w:val="000E181A"/>
    <w:rsid w:val="000E3C8B"/>
    <w:rsid w:val="000E753F"/>
    <w:rsid w:val="000F0A7F"/>
    <w:rsid w:val="000F1F70"/>
    <w:rsid w:val="000F1FE5"/>
    <w:rsid w:val="000F2F04"/>
    <w:rsid w:val="000F2F0D"/>
    <w:rsid w:val="000F435E"/>
    <w:rsid w:val="000F5BEF"/>
    <w:rsid w:val="000F60BF"/>
    <w:rsid w:val="00101234"/>
    <w:rsid w:val="0010131B"/>
    <w:rsid w:val="0010197A"/>
    <w:rsid w:val="00101E96"/>
    <w:rsid w:val="001041BB"/>
    <w:rsid w:val="001049C6"/>
    <w:rsid w:val="001114D1"/>
    <w:rsid w:val="001116F3"/>
    <w:rsid w:val="00112020"/>
    <w:rsid w:val="00112322"/>
    <w:rsid w:val="001124F0"/>
    <w:rsid w:val="00112A40"/>
    <w:rsid w:val="001137BD"/>
    <w:rsid w:val="00113A94"/>
    <w:rsid w:val="0012010D"/>
    <w:rsid w:val="0012691C"/>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F7E"/>
    <w:rsid w:val="001705E5"/>
    <w:rsid w:val="00171563"/>
    <w:rsid w:val="00172B35"/>
    <w:rsid w:val="00173D02"/>
    <w:rsid w:val="00173F9E"/>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5E35"/>
    <w:rsid w:val="001B0CC4"/>
    <w:rsid w:val="001B2060"/>
    <w:rsid w:val="001B3402"/>
    <w:rsid w:val="001B36D3"/>
    <w:rsid w:val="001B516A"/>
    <w:rsid w:val="001B760D"/>
    <w:rsid w:val="001C3C40"/>
    <w:rsid w:val="001C4134"/>
    <w:rsid w:val="001C4D56"/>
    <w:rsid w:val="001D0422"/>
    <w:rsid w:val="001D494B"/>
    <w:rsid w:val="001D5510"/>
    <w:rsid w:val="001D6844"/>
    <w:rsid w:val="001E02B0"/>
    <w:rsid w:val="001E12FB"/>
    <w:rsid w:val="001E48AD"/>
    <w:rsid w:val="001E4F7F"/>
    <w:rsid w:val="001E76A8"/>
    <w:rsid w:val="001F0697"/>
    <w:rsid w:val="001F1899"/>
    <w:rsid w:val="001F2F72"/>
    <w:rsid w:val="001F68F0"/>
    <w:rsid w:val="001F7394"/>
    <w:rsid w:val="001F7FBA"/>
    <w:rsid w:val="00205ED7"/>
    <w:rsid w:val="00210B26"/>
    <w:rsid w:val="00210C88"/>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6C9E"/>
    <w:rsid w:val="00240844"/>
    <w:rsid w:val="00240B15"/>
    <w:rsid w:val="0024118D"/>
    <w:rsid w:val="002444FB"/>
    <w:rsid w:val="00247511"/>
    <w:rsid w:val="00255DEF"/>
    <w:rsid w:val="002566C0"/>
    <w:rsid w:val="00256FC9"/>
    <w:rsid w:val="0025709A"/>
    <w:rsid w:val="00257347"/>
    <w:rsid w:val="00257EA2"/>
    <w:rsid w:val="00261A17"/>
    <w:rsid w:val="00262E83"/>
    <w:rsid w:val="002657FD"/>
    <w:rsid w:val="00266207"/>
    <w:rsid w:val="00266DD9"/>
    <w:rsid w:val="00267FDE"/>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6CA0"/>
    <w:rsid w:val="00297A4A"/>
    <w:rsid w:val="002A1577"/>
    <w:rsid w:val="002A163A"/>
    <w:rsid w:val="002A2B91"/>
    <w:rsid w:val="002A6311"/>
    <w:rsid w:val="002B1027"/>
    <w:rsid w:val="002B17B0"/>
    <w:rsid w:val="002B243A"/>
    <w:rsid w:val="002B36F3"/>
    <w:rsid w:val="002B4EE0"/>
    <w:rsid w:val="002B540D"/>
    <w:rsid w:val="002B577B"/>
    <w:rsid w:val="002C2AA3"/>
    <w:rsid w:val="002C2F2B"/>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8C5"/>
    <w:rsid w:val="00315CF0"/>
    <w:rsid w:val="0031733F"/>
    <w:rsid w:val="00320798"/>
    <w:rsid w:val="003223A3"/>
    <w:rsid w:val="00322C71"/>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7576"/>
    <w:rsid w:val="003609AA"/>
    <w:rsid w:val="00364109"/>
    <w:rsid w:val="00365D4B"/>
    <w:rsid w:val="0037038B"/>
    <w:rsid w:val="00372A0B"/>
    <w:rsid w:val="00373F6E"/>
    <w:rsid w:val="0037463C"/>
    <w:rsid w:val="003747E7"/>
    <w:rsid w:val="00375FD8"/>
    <w:rsid w:val="00382B4E"/>
    <w:rsid w:val="00384B60"/>
    <w:rsid w:val="003868A8"/>
    <w:rsid w:val="0039231C"/>
    <w:rsid w:val="00394E0A"/>
    <w:rsid w:val="00395F33"/>
    <w:rsid w:val="00397A5E"/>
    <w:rsid w:val="003A1045"/>
    <w:rsid w:val="003A14C1"/>
    <w:rsid w:val="003A1B7E"/>
    <w:rsid w:val="003A3FFB"/>
    <w:rsid w:val="003A5DED"/>
    <w:rsid w:val="003A6CFB"/>
    <w:rsid w:val="003A7FA2"/>
    <w:rsid w:val="003B0385"/>
    <w:rsid w:val="003B0E73"/>
    <w:rsid w:val="003B1953"/>
    <w:rsid w:val="003B478E"/>
    <w:rsid w:val="003B5313"/>
    <w:rsid w:val="003B6FBA"/>
    <w:rsid w:val="003C20BE"/>
    <w:rsid w:val="003C4903"/>
    <w:rsid w:val="003C5FD5"/>
    <w:rsid w:val="003C78F5"/>
    <w:rsid w:val="003D22F3"/>
    <w:rsid w:val="003D5AC1"/>
    <w:rsid w:val="003D68F7"/>
    <w:rsid w:val="003D6A2D"/>
    <w:rsid w:val="003D6B3C"/>
    <w:rsid w:val="003E294D"/>
    <w:rsid w:val="003E2C6C"/>
    <w:rsid w:val="003E36DB"/>
    <w:rsid w:val="003E5976"/>
    <w:rsid w:val="003E68CF"/>
    <w:rsid w:val="003E7850"/>
    <w:rsid w:val="003E78BA"/>
    <w:rsid w:val="003E7B94"/>
    <w:rsid w:val="003F071C"/>
    <w:rsid w:val="003F386A"/>
    <w:rsid w:val="003F3CAA"/>
    <w:rsid w:val="003F5E1C"/>
    <w:rsid w:val="003F6573"/>
    <w:rsid w:val="003F75AE"/>
    <w:rsid w:val="004001DF"/>
    <w:rsid w:val="004005BA"/>
    <w:rsid w:val="00400DC7"/>
    <w:rsid w:val="0040115C"/>
    <w:rsid w:val="00402065"/>
    <w:rsid w:val="00406D13"/>
    <w:rsid w:val="0041169B"/>
    <w:rsid w:val="00411B57"/>
    <w:rsid w:val="00411C55"/>
    <w:rsid w:val="0041427C"/>
    <w:rsid w:val="00414997"/>
    <w:rsid w:val="00415BD5"/>
    <w:rsid w:val="004169AE"/>
    <w:rsid w:val="00417A9D"/>
    <w:rsid w:val="00421307"/>
    <w:rsid w:val="004218F4"/>
    <w:rsid w:val="00421F31"/>
    <w:rsid w:val="00422A79"/>
    <w:rsid w:val="00422AB9"/>
    <w:rsid w:val="00426967"/>
    <w:rsid w:val="0043112C"/>
    <w:rsid w:val="00433077"/>
    <w:rsid w:val="00433448"/>
    <w:rsid w:val="00435379"/>
    <w:rsid w:val="00436284"/>
    <w:rsid w:val="00437AD8"/>
    <w:rsid w:val="0044043D"/>
    <w:rsid w:val="004422F7"/>
    <w:rsid w:val="00443666"/>
    <w:rsid w:val="00443A23"/>
    <w:rsid w:val="00446ECC"/>
    <w:rsid w:val="0044783F"/>
    <w:rsid w:val="00450559"/>
    <w:rsid w:val="00453A69"/>
    <w:rsid w:val="00454BA7"/>
    <w:rsid w:val="00454FEB"/>
    <w:rsid w:val="00456F03"/>
    <w:rsid w:val="00460636"/>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2D57"/>
    <w:rsid w:val="00494D24"/>
    <w:rsid w:val="004964CC"/>
    <w:rsid w:val="004A00B6"/>
    <w:rsid w:val="004A5745"/>
    <w:rsid w:val="004A6650"/>
    <w:rsid w:val="004B06E4"/>
    <w:rsid w:val="004B381F"/>
    <w:rsid w:val="004C163D"/>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C8A"/>
    <w:rsid w:val="004E5D93"/>
    <w:rsid w:val="004F0917"/>
    <w:rsid w:val="004F2766"/>
    <w:rsid w:val="004F2FD2"/>
    <w:rsid w:val="004F348E"/>
    <w:rsid w:val="004F3A37"/>
    <w:rsid w:val="004F479B"/>
    <w:rsid w:val="004F70C4"/>
    <w:rsid w:val="0050225C"/>
    <w:rsid w:val="005047E5"/>
    <w:rsid w:val="00505444"/>
    <w:rsid w:val="00507F97"/>
    <w:rsid w:val="0051040E"/>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AAD"/>
    <w:rsid w:val="005473CA"/>
    <w:rsid w:val="00551A45"/>
    <w:rsid w:val="00553522"/>
    <w:rsid w:val="00564C02"/>
    <w:rsid w:val="005655A9"/>
    <w:rsid w:val="005666BB"/>
    <w:rsid w:val="00573602"/>
    <w:rsid w:val="00574697"/>
    <w:rsid w:val="00576816"/>
    <w:rsid w:val="0058251C"/>
    <w:rsid w:val="00582A6A"/>
    <w:rsid w:val="00584FC2"/>
    <w:rsid w:val="005900B4"/>
    <w:rsid w:val="00590168"/>
    <w:rsid w:val="005925AB"/>
    <w:rsid w:val="00593B7F"/>
    <w:rsid w:val="00593E32"/>
    <w:rsid w:val="00593FEB"/>
    <w:rsid w:val="00594DDA"/>
    <w:rsid w:val="0059582A"/>
    <w:rsid w:val="00595E3D"/>
    <w:rsid w:val="005963EC"/>
    <w:rsid w:val="005A1A0C"/>
    <w:rsid w:val="005A1F5B"/>
    <w:rsid w:val="005A20B6"/>
    <w:rsid w:val="005A2C2E"/>
    <w:rsid w:val="005A3AD8"/>
    <w:rsid w:val="005A4E99"/>
    <w:rsid w:val="005A51C8"/>
    <w:rsid w:val="005A5819"/>
    <w:rsid w:val="005A5BF9"/>
    <w:rsid w:val="005A5BFE"/>
    <w:rsid w:val="005A67CD"/>
    <w:rsid w:val="005A6A28"/>
    <w:rsid w:val="005B38DC"/>
    <w:rsid w:val="005B3D23"/>
    <w:rsid w:val="005B42F5"/>
    <w:rsid w:val="005B507D"/>
    <w:rsid w:val="005B51CD"/>
    <w:rsid w:val="005C530B"/>
    <w:rsid w:val="005C5D54"/>
    <w:rsid w:val="005D0572"/>
    <w:rsid w:val="005D20C0"/>
    <w:rsid w:val="005D22EE"/>
    <w:rsid w:val="005D3577"/>
    <w:rsid w:val="005D3C99"/>
    <w:rsid w:val="005D5FF6"/>
    <w:rsid w:val="005D6140"/>
    <w:rsid w:val="005D6A8A"/>
    <w:rsid w:val="005D7C41"/>
    <w:rsid w:val="005E0B08"/>
    <w:rsid w:val="005E1A47"/>
    <w:rsid w:val="005E2FBF"/>
    <w:rsid w:val="005E3C5E"/>
    <w:rsid w:val="005E5AFD"/>
    <w:rsid w:val="005E5C54"/>
    <w:rsid w:val="005E6214"/>
    <w:rsid w:val="005F0816"/>
    <w:rsid w:val="005F1634"/>
    <w:rsid w:val="005F2120"/>
    <w:rsid w:val="005F2522"/>
    <w:rsid w:val="005F5577"/>
    <w:rsid w:val="005F6BD9"/>
    <w:rsid w:val="005F6C51"/>
    <w:rsid w:val="00603696"/>
    <w:rsid w:val="00603D11"/>
    <w:rsid w:val="006053DF"/>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52F4A"/>
    <w:rsid w:val="00653875"/>
    <w:rsid w:val="00661BF7"/>
    <w:rsid w:val="00662729"/>
    <w:rsid w:val="00662E06"/>
    <w:rsid w:val="00663F7C"/>
    <w:rsid w:val="00671E42"/>
    <w:rsid w:val="00677CAC"/>
    <w:rsid w:val="00677FB7"/>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302"/>
    <w:rsid w:val="006A596A"/>
    <w:rsid w:val="006A7DBA"/>
    <w:rsid w:val="006B012C"/>
    <w:rsid w:val="006B0609"/>
    <w:rsid w:val="006B1DBA"/>
    <w:rsid w:val="006B33DC"/>
    <w:rsid w:val="006B53F6"/>
    <w:rsid w:val="006B562C"/>
    <w:rsid w:val="006B57B3"/>
    <w:rsid w:val="006B5EA8"/>
    <w:rsid w:val="006C007B"/>
    <w:rsid w:val="006C175F"/>
    <w:rsid w:val="006C2FC3"/>
    <w:rsid w:val="006C5797"/>
    <w:rsid w:val="006C5A8B"/>
    <w:rsid w:val="006D34CF"/>
    <w:rsid w:val="006D4766"/>
    <w:rsid w:val="006E6781"/>
    <w:rsid w:val="006F12B7"/>
    <w:rsid w:val="006F2574"/>
    <w:rsid w:val="006F45EF"/>
    <w:rsid w:val="0070011A"/>
    <w:rsid w:val="00703425"/>
    <w:rsid w:val="0070425B"/>
    <w:rsid w:val="00704263"/>
    <w:rsid w:val="00706015"/>
    <w:rsid w:val="00707B2C"/>
    <w:rsid w:val="0071076E"/>
    <w:rsid w:val="007109CB"/>
    <w:rsid w:val="00715182"/>
    <w:rsid w:val="00715B79"/>
    <w:rsid w:val="0071644E"/>
    <w:rsid w:val="0071777E"/>
    <w:rsid w:val="0072090B"/>
    <w:rsid w:val="00721674"/>
    <w:rsid w:val="0072223E"/>
    <w:rsid w:val="0072249D"/>
    <w:rsid w:val="00722900"/>
    <w:rsid w:val="0072472B"/>
    <w:rsid w:val="00726399"/>
    <w:rsid w:val="00727E88"/>
    <w:rsid w:val="007322A0"/>
    <w:rsid w:val="007331E7"/>
    <w:rsid w:val="0073493A"/>
    <w:rsid w:val="0073504E"/>
    <w:rsid w:val="007437EC"/>
    <w:rsid w:val="007453DC"/>
    <w:rsid w:val="007457B7"/>
    <w:rsid w:val="00747B21"/>
    <w:rsid w:val="00750330"/>
    <w:rsid w:val="00750586"/>
    <w:rsid w:val="0075137F"/>
    <w:rsid w:val="00751FA8"/>
    <w:rsid w:val="00752C26"/>
    <w:rsid w:val="00752F76"/>
    <w:rsid w:val="00753280"/>
    <w:rsid w:val="00755CAA"/>
    <w:rsid w:val="00761BD4"/>
    <w:rsid w:val="0076240D"/>
    <w:rsid w:val="0076241B"/>
    <w:rsid w:val="007625F8"/>
    <w:rsid w:val="00762CF1"/>
    <w:rsid w:val="007633DF"/>
    <w:rsid w:val="00765036"/>
    <w:rsid w:val="00766DBA"/>
    <w:rsid w:val="0077102B"/>
    <w:rsid w:val="00771EE7"/>
    <w:rsid w:val="007764BC"/>
    <w:rsid w:val="007776C5"/>
    <w:rsid w:val="00780916"/>
    <w:rsid w:val="00780F79"/>
    <w:rsid w:val="00781CEC"/>
    <w:rsid w:val="0078579A"/>
    <w:rsid w:val="00793CB2"/>
    <w:rsid w:val="00794AB8"/>
    <w:rsid w:val="00794D39"/>
    <w:rsid w:val="00796FAE"/>
    <w:rsid w:val="007A0594"/>
    <w:rsid w:val="007A0A0C"/>
    <w:rsid w:val="007A0FBC"/>
    <w:rsid w:val="007A25F4"/>
    <w:rsid w:val="007A3B76"/>
    <w:rsid w:val="007A4B75"/>
    <w:rsid w:val="007B2E0B"/>
    <w:rsid w:val="007B3DE0"/>
    <w:rsid w:val="007B4346"/>
    <w:rsid w:val="007C0A5E"/>
    <w:rsid w:val="007C3A5E"/>
    <w:rsid w:val="007C3CD3"/>
    <w:rsid w:val="007C45D6"/>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91D"/>
    <w:rsid w:val="00810B5B"/>
    <w:rsid w:val="00811755"/>
    <w:rsid w:val="0081361D"/>
    <w:rsid w:val="0081427B"/>
    <w:rsid w:val="008150D9"/>
    <w:rsid w:val="0081523C"/>
    <w:rsid w:val="00815D1C"/>
    <w:rsid w:val="00815E60"/>
    <w:rsid w:val="0082047B"/>
    <w:rsid w:val="00821B70"/>
    <w:rsid w:val="008227F5"/>
    <w:rsid w:val="008239BC"/>
    <w:rsid w:val="00824F38"/>
    <w:rsid w:val="008263C8"/>
    <w:rsid w:val="00831B33"/>
    <w:rsid w:val="0083365C"/>
    <w:rsid w:val="00833669"/>
    <w:rsid w:val="008367DA"/>
    <w:rsid w:val="008370EB"/>
    <w:rsid w:val="008377D1"/>
    <w:rsid w:val="00841644"/>
    <w:rsid w:val="00845790"/>
    <w:rsid w:val="00847A28"/>
    <w:rsid w:val="00851A22"/>
    <w:rsid w:val="008600BB"/>
    <w:rsid w:val="00860E16"/>
    <w:rsid w:val="00862C03"/>
    <w:rsid w:val="00863B31"/>
    <w:rsid w:val="00864A93"/>
    <w:rsid w:val="0086615A"/>
    <w:rsid w:val="008672DA"/>
    <w:rsid w:val="00867A76"/>
    <w:rsid w:val="00870395"/>
    <w:rsid w:val="008709A9"/>
    <w:rsid w:val="00870C0F"/>
    <w:rsid w:val="00871398"/>
    <w:rsid w:val="008728C2"/>
    <w:rsid w:val="00875C6B"/>
    <w:rsid w:val="008760A3"/>
    <w:rsid w:val="008760E5"/>
    <w:rsid w:val="00877B54"/>
    <w:rsid w:val="0088088C"/>
    <w:rsid w:val="008813A2"/>
    <w:rsid w:val="0088384E"/>
    <w:rsid w:val="008861DB"/>
    <w:rsid w:val="008870B4"/>
    <w:rsid w:val="008872E1"/>
    <w:rsid w:val="00892342"/>
    <w:rsid w:val="0089322F"/>
    <w:rsid w:val="00893D25"/>
    <w:rsid w:val="00894C14"/>
    <w:rsid w:val="008A1696"/>
    <w:rsid w:val="008A2EEC"/>
    <w:rsid w:val="008A3258"/>
    <w:rsid w:val="008A3F6F"/>
    <w:rsid w:val="008A4623"/>
    <w:rsid w:val="008A6FD9"/>
    <w:rsid w:val="008B0A0F"/>
    <w:rsid w:val="008B1362"/>
    <w:rsid w:val="008B1D81"/>
    <w:rsid w:val="008B51E4"/>
    <w:rsid w:val="008B7A66"/>
    <w:rsid w:val="008C0A1F"/>
    <w:rsid w:val="008C2EA4"/>
    <w:rsid w:val="008C46FF"/>
    <w:rsid w:val="008C6CF9"/>
    <w:rsid w:val="008D21B6"/>
    <w:rsid w:val="008D3C6E"/>
    <w:rsid w:val="008D4975"/>
    <w:rsid w:val="008D4B09"/>
    <w:rsid w:val="008E1660"/>
    <w:rsid w:val="008E1BD0"/>
    <w:rsid w:val="008E26B9"/>
    <w:rsid w:val="008E7D8C"/>
    <w:rsid w:val="008F302A"/>
    <w:rsid w:val="008F5A75"/>
    <w:rsid w:val="008F5C51"/>
    <w:rsid w:val="00901EE6"/>
    <w:rsid w:val="0090448E"/>
    <w:rsid w:val="00904F5A"/>
    <w:rsid w:val="00905594"/>
    <w:rsid w:val="009070DE"/>
    <w:rsid w:val="00911E80"/>
    <w:rsid w:val="009142EF"/>
    <w:rsid w:val="00915CFF"/>
    <w:rsid w:val="00917F04"/>
    <w:rsid w:val="00917F7C"/>
    <w:rsid w:val="00920AE0"/>
    <w:rsid w:val="009216FF"/>
    <w:rsid w:val="009221CF"/>
    <w:rsid w:val="00922657"/>
    <w:rsid w:val="009263D4"/>
    <w:rsid w:val="009266E4"/>
    <w:rsid w:val="009307E1"/>
    <w:rsid w:val="009316F8"/>
    <w:rsid w:val="00933300"/>
    <w:rsid w:val="00936CF4"/>
    <w:rsid w:val="00936F6D"/>
    <w:rsid w:val="00940EF4"/>
    <w:rsid w:val="009436F9"/>
    <w:rsid w:val="00952CB0"/>
    <w:rsid w:val="00955078"/>
    <w:rsid w:val="009556DA"/>
    <w:rsid w:val="00957514"/>
    <w:rsid w:val="00957522"/>
    <w:rsid w:val="00957A0A"/>
    <w:rsid w:val="0096386C"/>
    <w:rsid w:val="00963FAE"/>
    <w:rsid w:val="0096633F"/>
    <w:rsid w:val="009714D4"/>
    <w:rsid w:val="009729FE"/>
    <w:rsid w:val="00973333"/>
    <w:rsid w:val="009765EC"/>
    <w:rsid w:val="00976702"/>
    <w:rsid w:val="00976D4C"/>
    <w:rsid w:val="00981F4A"/>
    <w:rsid w:val="009832C2"/>
    <w:rsid w:val="009836A6"/>
    <w:rsid w:val="009879FF"/>
    <w:rsid w:val="009908F3"/>
    <w:rsid w:val="0099104F"/>
    <w:rsid w:val="0099118A"/>
    <w:rsid w:val="0099276A"/>
    <w:rsid w:val="00992A81"/>
    <w:rsid w:val="00992C9D"/>
    <w:rsid w:val="00995595"/>
    <w:rsid w:val="009978A5"/>
    <w:rsid w:val="00997CAD"/>
    <w:rsid w:val="009A185C"/>
    <w:rsid w:val="009A5908"/>
    <w:rsid w:val="009B3CFB"/>
    <w:rsid w:val="009B3FD0"/>
    <w:rsid w:val="009B4DBA"/>
    <w:rsid w:val="009B647D"/>
    <w:rsid w:val="009B6C2C"/>
    <w:rsid w:val="009C19B9"/>
    <w:rsid w:val="009C6394"/>
    <w:rsid w:val="009C6C0F"/>
    <w:rsid w:val="009D07C0"/>
    <w:rsid w:val="009D2E37"/>
    <w:rsid w:val="009D4CC6"/>
    <w:rsid w:val="009D78C7"/>
    <w:rsid w:val="009E0051"/>
    <w:rsid w:val="009E05AF"/>
    <w:rsid w:val="009E30E9"/>
    <w:rsid w:val="009E4BD0"/>
    <w:rsid w:val="009E4CB0"/>
    <w:rsid w:val="009E5464"/>
    <w:rsid w:val="009E7011"/>
    <w:rsid w:val="009E7928"/>
    <w:rsid w:val="009F3731"/>
    <w:rsid w:val="009F49D1"/>
    <w:rsid w:val="009F612F"/>
    <w:rsid w:val="009F684D"/>
    <w:rsid w:val="00A008D3"/>
    <w:rsid w:val="00A025F2"/>
    <w:rsid w:val="00A0405C"/>
    <w:rsid w:val="00A0569D"/>
    <w:rsid w:val="00A07C50"/>
    <w:rsid w:val="00A07C54"/>
    <w:rsid w:val="00A108A6"/>
    <w:rsid w:val="00A1169A"/>
    <w:rsid w:val="00A137C7"/>
    <w:rsid w:val="00A1453A"/>
    <w:rsid w:val="00A145CB"/>
    <w:rsid w:val="00A1643E"/>
    <w:rsid w:val="00A1696B"/>
    <w:rsid w:val="00A17DF1"/>
    <w:rsid w:val="00A21EF8"/>
    <w:rsid w:val="00A22410"/>
    <w:rsid w:val="00A235F9"/>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71B"/>
    <w:rsid w:val="00A638DA"/>
    <w:rsid w:val="00A65DDD"/>
    <w:rsid w:val="00A676D1"/>
    <w:rsid w:val="00A70B73"/>
    <w:rsid w:val="00A73715"/>
    <w:rsid w:val="00A7542D"/>
    <w:rsid w:val="00A76AF1"/>
    <w:rsid w:val="00A77BDB"/>
    <w:rsid w:val="00A81807"/>
    <w:rsid w:val="00A826D7"/>
    <w:rsid w:val="00A82FA5"/>
    <w:rsid w:val="00A8451C"/>
    <w:rsid w:val="00A84B70"/>
    <w:rsid w:val="00A84CDB"/>
    <w:rsid w:val="00A8586B"/>
    <w:rsid w:val="00A91FC0"/>
    <w:rsid w:val="00A92498"/>
    <w:rsid w:val="00A933A9"/>
    <w:rsid w:val="00A938C5"/>
    <w:rsid w:val="00A94620"/>
    <w:rsid w:val="00A96DA6"/>
    <w:rsid w:val="00A97F50"/>
    <w:rsid w:val="00AA036B"/>
    <w:rsid w:val="00AA0F9E"/>
    <w:rsid w:val="00AA128D"/>
    <w:rsid w:val="00AA3C53"/>
    <w:rsid w:val="00AA4273"/>
    <w:rsid w:val="00AA4D15"/>
    <w:rsid w:val="00AA648F"/>
    <w:rsid w:val="00AA7CBE"/>
    <w:rsid w:val="00AB05C7"/>
    <w:rsid w:val="00AB126C"/>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F82"/>
    <w:rsid w:val="00AF3B38"/>
    <w:rsid w:val="00AF4D14"/>
    <w:rsid w:val="00AF6664"/>
    <w:rsid w:val="00AF6E3F"/>
    <w:rsid w:val="00B02060"/>
    <w:rsid w:val="00B038B6"/>
    <w:rsid w:val="00B04E19"/>
    <w:rsid w:val="00B07D87"/>
    <w:rsid w:val="00B1127C"/>
    <w:rsid w:val="00B11700"/>
    <w:rsid w:val="00B11988"/>
    <w:rsid w:val="00B13701"/>
    <w:rsid w:val="00B149D1"/>
    <w:rsid w:val="00B20A0D"/>
    <w:rsid w:val="00B23909"/>
    <w:rsid w:val="00B2447E"/>
    <w:rsid w:val="00B30770"/>
    <w:rsid w:val="00B321CA"/>
    <w:rsid w:val="00B3319E"/>
    <w:rsid w:val="00B353D1"/>
    <w:rsid w:val="00B36985"/>
    <w:rsid w:val="00B371C5"/>
    <w:rsid w:val="00B37C3E"/>
    <w:rsid w:val="00B37CB9"/>
    <w:rsid w:val="00B408AC"/>
    <w:rsid w:val="00B40906"/>
    <w:rsid w:val="00B42A5B"/>
    <w:rsid w:val="00B452E2"/>
    <w:rsid w:val="00B4692D"/>
    <w:rsid w:val="00B47DF6"/>
    <w:rsid w:val="00B505E2"/>
    <w:rsid w:val="00B52CBF"/>
    <w:rsid w:val="00B53DAF"/>
    <w:rsid w:val="00B549E1"/>
    <w:rsid w:val="00B5563B"/>
    <w:rsid w:val="00B60A01"/>
    <w:rsid w:val="00B60B60"/>
    <w:rsid w:val="00B61168"/>
    <w:rsid w:val="00B6149B"/>
    <w:rsid w:val="00B62D31"/>
    <w:rsid w:val="00B6329C"/>
    <w:rsid w:val="00B66AFE"/>
    <w:rsid w:val="00B70DDD"/>
    <w:rsid w:val="00B71128"/>
    <w:rsid w:val="00B717FC"/>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315E"/>
    <w:rsid w:val="00BA4622"/>
    <w:rsid w:val="00BA4D24"/>
    <w:rsid w:val="00BA64CF"/>
    <w:rsid w:val="00BA68C3"/>
    <w:rsid w:val="00BA6E1F"/>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582"/>
    <w:rsid w:val="00BE338A"/>
    <w:rsid w:val="00BE3702"/>
    <w:rsid w:val="00BF3C4D"/>
    <w:rsid w:val="00BF52C3"/>
    <w:rsid w:val="00BF6A13"/>
    <w:rsid w:val="00BF7B82"/>
    <w:rsid w:val="00C03A87"/>
    <w:rsid w:val="00C0442C"/>
    <w:rsid w:val="00C04A77"/>
    <w:rsid w:val="00C05926"/>
    <w:rsid w:val="00C07CCB"/>
    <w:rsid w:val="00C1139D"/>
    <w:rsid w:val="00C11784"/>
    <w:rsid w:val="00C128E8"/>
    <w:rsid w:val="00C14DE6"/>
    <w:rsid w:val="00C15C8E"/>
    <w:rsid w:val="00C15C99"/>
    <w:rsid w:val="00C17DE1"/>
    <w:rsid w:val="00C22177"/>
    <w:rsid w:val="00C23FCE"/>
    <w:rsid w:val="00C25347"/>
    <w:rsid w:val="00C255B5"/>
    <w:rsid w:val="00C27D4F"/>
    <w:rsid w:val="00C3108B"/>
    <w:rsid w:val="00C31868"/>
    <w:rsid w:val="00C31C69"/>
    <w:rsid w:val="00C3263F"/>
    <w:rsid w:val="00C34C03"/>
    <w:rsid w:val="00C35466"/>
    <w:rsid w:val="00C402B4"/>
    <w:rsid w:val="00C40B1D"/>
    <w:rsid w:val="00C41279"/>
    <w:rsid w:val="00C4263A"/>
    <w:rsid w:val="00C42BC7"/>
    <w:rsid w:val="00C42C4E"/>
    <w:rsid w:val="00C46EAE"/>
    <w:rsid w:val="00C46F4D"/>
    <w:rsid w:val="00C508E5"/>
    <w:rsid w:val="00C5303A"/>
    <w:rsid w:val="00C55A59"/>
    <w:rsid w:val="00C561DA"/>
    <w:rsid w:val="00C61C18"/>
    <w:rsid w:val="00C626D1"/>
    <w:rsid w:val="00C6476B"/>
    <w:rsid w:val="00C66A92"/>
    <w:rsid w:val="00C7024C"/>
    <w:rsid w:val="00C713F2"/>
    <w:rsid w:val="00C721A2"/>
    <w:rsid w:val="00C73464"/>
    <w:rsid w:val="00C74D24"/>
    <w:rsid w:val="00C74E3C"/>
    <w:rsid w:val="00C75344"/>
    <w:rsid w:val="00C7587C"/>
    <w:rsid w:val="00C76E43"/>
    <w:rsid w:val="00C777A7"/>
    <w:rsid w:val="00C81275"/>
    <w:rsid w:val="00C82F5F"/>
    <w:rsid w:val="00C85584"/>
    <w:rsid w:val="00C90EBB"/>
    <w:rsid w:val="00C91B5C"/>
    <w:rsid w:val="00C95DAE"/>
    <w:rsid w:val="00C96247"/>
    <w:rsid w:val="00CA3F6E"/>
    <w:rsid w:val="00CA53C7"/>
    <w:rsid w:val="00CA54EF"/>
    <w:rsid w:val="00CA5579"/>
    <w:rsid w:val="00CB02E3"/>
    <w:rsid w:val="00CB0F04"/>
    <w:rsid w:val="00CB1643"/>
    <w:rsid w:val="00CB2094"/>
    <w:rsid w:val="00CB3516"/>
    <w:rsid w:val="00CB5D16"/>
    <w:rsid w:val="00CB5E95"/>
    <w:rsid w:val="00CB672E"/>
    <w:rsid w:val="00CB7972"/>
    <w:rsid w:val="00CC1151"/>
    <w:rsid w:val="00CC1F34"/>
    <w:rsid w:val="00CC2E29"/>
    <w:rsid w:val="00CC3AB3"/>
    <w:rsid w:val="00CC6847"/>
    <w:rsid w:val="00CD0F90"/>
    <w:rsid w:val="00CD3593"/>
    <w:rsid w:val="00CD3724"/>
    <w:rsid w:val="00CD3F2E"/>
    <w:rsid w:val="00CD60CB"/>
    <w:rsid w:val="00CD6C82"/>
    <w:rsid w:val="00CD7775"/>
    <w:rsid w:val="00CD7915"/>
    <w:rsid w:val="00CE0FAA"/>
    <w:rsid w:val="00CE1CFE"/>
    <w:rsid w:val="00CE208C"/>
    <w:rsid w:val="00CE2F05"/>
    <w:rsid w:val="00CE4B99"/>
    <w:rsid w:val="00CF4A59"/>
    <w:rsid w:val="00CF7057"/>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6FB8"/>
    <w:rsid w:val="00D376E7"/>
    <w:rsid w:val="00D37720"/>
    <w:rsid w:val="00D409E7"/>
    <w:rsid w:val="00D4160E"/>
    <w:rsid w:val="00D42EB6"/>
    <w:rsid w:val="00D460F2"/>
    <w:rsid w:val="00D46F95"/>
    <w:rsid w:val="00D4742E"/>
    <w:rsid w:val="00D47474"/>
    <w:rsid w:val="00D47EEC"/>
    <w:rsid w:val="00D50DD6"/>
    <w:rsid w:val="00D52117"/>
    <w:rsid w:val="00D530D7"/>
    <w:rsid w:val="00D538F4"/>
    <w:rsid w:val="00D54F87"/>
    <w:rsid w:val="00D554FE"/>
    <w:rsid w:val="00D57FCC"/>
    <w:rsid w:val="00D64B5E"/>
    <w:rsid w:val="00D67FBD"/>
    <w:rsid w:val="00D70951"/>
    <w:rsid w:val="00D70B41"/>
    <w:rsid w:val="00D70C52"/>
    <w:rsid w:val="00D7241A"/>
    <w:rsid w:val="00D72871"/>
    <w:rsid w:val="00D77494"/>
    <w:rsid w:val="00D86D9B"/>
    <w:rsid w:val="00D92997"/>
    <w:rsid w:val="00D92BB6"/>
    <w:rsid w:val="00D9326F"/>
    <w:rsid w:val="00D933BC"/>
    <w:rsid w:val="00D93F1F"/>
    <w:rsid w:val="00DA04EE"/>
    <w:rsid w:val="00DA0B08"/>
    <w:rsid w:val="00DA0E94"/>
    <w:rsid w:val="00DA1078"/>
    <w:rsid w:val="00DA120A"/>
    <w:rsid w:val="00DA215F"/>
    <w:rsid w:val="00DA5C52"/>
    <w:rsid w:val="00DB060D"/>
    <w:rsid w:val="00DB112F"/>
    <w:rsid w:val="00DB17D7"/>
    <w:rsid w:val="00DB1CE4"/>
    <w:rsid w:val="00DB2212"/>
    <w:rsid w:val="00DB5538"/>
    <w:rsid w:val="00DB63C5"/>
    <w:rsid w:val="00DB6DB9"/>
    <w:rsid w:val="00DB74FE"/>
    <w:rsid w:val="00DC1DA2"/>
    <w:rsid w:val="00DC3F65"/>
    <w:rsid w:val="00DC7A28"/>
    <w:rsid w:val="00DD6867"/>
    <w:rsid w:val="00DE1D12"/>
    <w:rsid w:val="00DE4153"/>
    <w:rsid w:val="00DE64C6"/>
    <w:rsid w:val="00DE6C58"/>
    <w:rsid w:val="00DE71B2"/>
    <w:rsid w:val="00DE7996"/>
    <w:rsid w:val="00DE7CFC"/>
    <w:rsid w:val="00DF00F5"/>
    <w:rsid w:val="00DF0188"/>
    <w:rsid w:val="00DF0785"/>
    <w:rsid w:val="00DF266C"/>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60B0C"/>
    <w:rsid w:val="00E6523A"/>
    <w:rsid w:val="00E65D95"/>
    <w:rsid w:val="00E66DEB"/>
    <w:rsid w:val="00E670FC"/>
    <w:rsid w:val="00E73DB9"/>
    <w:rsid w:val="00E74A84"/>
    <w:rsid w:val="00E83F7F"/>
    <w:rsid w:val="00E84949"/>
    <w:rsid w:val="00E864EB"/>
    <w:rsid w:val="00E90700"/>
    <w:rsid w:val="00E92A03"/>
    <w:rsid w:val="00E95D35"/>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EF6A83"/>
    <w:rsid w:val="00F03168"/>
    <w:rsid w:val="00F0441B"/>
    <w:rsid w:val="00F10D2B"/>
    <w:rsid w:val="00F152E2"/>
    <w:rsid w:val="00F16D36"/>
    <w:rsid w:val="00F2013E"/>
    <w:rsid w:val="00F20D43"/>
    <w:rsid w:val="00F2167E"/>
    <w:rsid w:val="00F22A7C"/>
    <w:rsid w:val="00F2355A"/>
    <w:rsid w:val="00F23A36"/>
    <w:rsid w:val="00F24E41"/>
    <w:rsid w:val="00F2506C"/>
    <w:rsid w:val="00F25F8B"/>
    <w:rsid w:val="00F2672E"/>
    <w:rsid w:val="00F30DA5"/>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726D0"/>
    <w:rsid w:val="00F7440C"/>
    <w:rsid w:val="00F74F9A"/>
    <w:rsid w:val="00F7715A"/>
    <w:rsid w:val="00F771DF"/>
    <w:rsid w:val="00F77D32"/>
    <w:rsid w:val="00F80028"/>
    <w:rsid w:val="00F802D9"/>
    <w:rsid w:val="00F81A02"/>
    <w:rsid w:val="00F81DAE"/>
    <w:rsid w:val="00F911AC"/>
    <w:rsid w:val="00F91A8D"/>
    <w:rsid w:val="00F91C88"/>
    <w:rsid w:val="00F922DA"/>
    <w:rsid w:val="00F930F8"/>
    <w:rsid w:val="00F93AA4"/>
    <w:rsid w:val="00F956E4"/>
    <w:rsid w:val="00F9570E"/>
    <w:rsid w:val="00F95CD7"/>
    <w:rsid w:val="00F96D2C"/>
    <w:rsid w:val="00F9782D"/>
    <w:rsid w:val="00F97BCF"/>
    <w:rsid w:val="00FA0328"/>
    <w:rsid w:val="00FA0EA7"/>
    <w:rsid w:val="00FA1A1B"/>
    <w:rsid w:val="00FA365C"/>
    <w:rsid w:val="00FA4546"/>
    <w:rsid w:val="00FA53A8"/>
    <w:rsid w:val="00FB01DD"/>
    <w:rsid w:val="00FB097C"/>
    <w:rsid w:val="00FB2D7C"/>
    <w:rsid w:val="00FB2F54"/>
    <w:rsid w:val="00FB35C4"/>
    <w:rsid w:val="00FB3FBE"/>
    <w:rsid w:val="00FB4279"/>
    <w:rsid w:val="00FB42D3"/>
    <w:rsid w:val="00FB443A"/>
    <w:rsid w:val="00FB5B3C"/>
    <w:rsid w:val="00FC009B"/>
    <w:rsid w:val="00FC01B3"/>
    <w:rsid w:val="00FC0B2C"/>
    <w:rsid w:val="00FC197B"/>
    <w:rsid w:val="00FC288A"/>
    <w:rsid w:val="00FC41CF"/>
    <w:rsid w:val="00FC4797"/>
    <w:rsid w:val="00FC508E"/>
    <w:rsid w:val="00FC53C6"/>
    <w:rsid w:val="00FC57EB"/>
    <w:rsid w:val="00FC6C65"/>
    <w:rsid w:val="00FC6C9C"/>
    <w:rsid w:val="00FC6F35"/>
    <w:rsid w:val="00FD0222"/>
    <w:rsid w:val="00FD598A"/>
    <w:rsid w:val="00FD72C2"/>
    <w:rsid w:val="00FD758D"/>
    <w:rsid w:val="00FD778B"/>
    <w:rsid w:val="00FD78E9"/>
    <w:rsid w:val="00FE2539"/>
    <w:rsid w:val="00FE3500"/>
    <w:rsid w:val="00FE421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jakewestfall.org/publications/pangea.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hyperlink" Target="https://rdataviz.wordpress.com/2010/03/05/getting-data-from-an-image-introductory-po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thods.sagepub.com/book/methods-of-meta-analysis-3e" TargetMode="External"/><Relationship Id="rId28" Type="http://schemas.openxmlformats.org/officeDocument/2006/relationships/image" Target="media/image10.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9E82E-6CC9-4C55-A605-A2B03E1BE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26202</TotalTime>
  <Pages>40</Pages>
  <Words>14798</Words>
  <Characters>84351</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341</cp:revision>
  <dcterms:created xsi:type="dcterms:W3CDTF">2018-03-09T03:58:00Z</dcterms:created>
  <dcterms:modified xsi:type="dcterms:W3CDTF">2018-09-27T23:22:00Z</dcterms:modified>
</cp:coreProperties>
</file>