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FirstParagraph"/>
      </w:pPr>
      <w:r>
        <w:t xml:space="preserve">ADD IN BFs &gt; 10 and Equivalence test &lt; .1</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of the large scale replication projects that have been performed in behavioral science research were collected. The original source of each study, test statistics, effect sizes, sample sizes, standard errors,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When the original and replication effect sizes were not reported as Fisher Z transformed correlation coefficients, effect sizes were converted from test statistics or effect sizes for analysis. In cases where sample sizes were not reported per group, equal sample sizes among groups were assumed to be equal in these estimates. See table one for the number of valid studies extracted from each project. All results are reported in correlation coefficients following {Open Science Collaboration, 2015 #611} in order to present results in a common metric which is likely intuitively understandable and familiar to most psychologists and behavioral researchers.</w:t>
      </w:r>
    </w:p>
    <w:p>
      <w:pPr>
        <w:pStyle w:val="BodyText"/>
      </w:pPr>
      <w:r>
        <w:t xml:space="preserve">Three studies which did not report that their findings were indicative of a true effect were excluded from {Open Science Collaboration, 2015 #611}. For the Nature Science reproducibility projects {Camerer, 2018 #967}, when multiple replication studies were run, a fixed effects meta-analysis was performed using the metafor package {Viechtbauer, 2010 #796} for each study to estimate the true effect. P values, standard errors and sample sizes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the nature science project, where they using the largest performed study instead of a pooled estimate.</w:t>
      </w:r>
    </w:p>
    <w:p>
      <w:pPr>
        <w:pStyle w:val="BodyText"/>
      </w:pPr>
      <w: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Many labs 2 [CITATION] original p values were recalculated from reported summary statistics (i.e., from Cohen’s d). Four studies from this reproducibility project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BodyText"/>
      </w:pPr>
      <w:r>
        <w:t xml:space="preserve">INSERT TABLE 1 HERE</w:t>
      </w:r>
    </w:p>
    <w:p>
      <w:pPr>
        <w:pStyle w:val="Heading3"/>
      </w:pPr>
      <w:bookmarkStart w:id="24" w:name="analysis"/>
      <w:bookmarkEnd w:id="24"/>
      <w:r>
        <w:t xml:space="preserve">Analysis</w:t>
      </w:r>
    </w:p>
    <w:p>
      <w:pPr>
        <w:pStyle w:val="Heading4"/>
      </w:pPr>
      <w:bookmarkStart w:id="25" w:name="multilevel-meta-analysis"/>
      <w:bookmarkEnd w:id="25"/>
      <w:r>
        <w:t xml:space="preserve">Multilevel meta-analysis</w:t>
      </w:r>
    </w:p>
    <w:p>
      <w:pPr>
        <w:pStyle w:val="FirstParagraph"/>
      </w:pPr>
      <w:r>
        <w:t xml:space="preserve">All analysis was performed in R {R Development Core Team, 2018 #314} using the Metafor package {Viechtbauer, 2010 #796}. In order to obtain a reasonable estimate of the change in effect size between original and replication studies, a multilevel random effects meta-analysis was performed on the difference in Fisher Z transformed correlations between original and replication studies. Standard errors were estimated as</w:t>
      </w:r>
      <w:r>
        <w:t xml:space="preserve"> </w:t>
      </w:r>
      <m:oMath>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of the random effects were obtained following {Robinson, 1991 #999}{Morris, 1983 #1000}.</w:t>
      </w:r>
    </w:p>
    <w:p>
      <w:pPr>
        <w:pStyle w:val="BodyText"/>
      </w:pPr>
      <w:r>
        <w:t xml:space="preserve">Confidence intervals around binomial proportions are 95% Wilson Score intervals. Percentage change values were calculated using Fisher Z transformed effect sizes. All analyses were exploratory, and multiple models which were developed are not presented here, although I believe the presented results to be the best description of the data. See</w:t>
      </w:r>
      <w:r>
        <w:t xml:space="preserve"> </w:t>
      </w:r>
      <w:hyperlink r:id="rId26">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7">
        <w:r>
          <w:rPr>
            <w:rStyle w:val="Hyperlink"/>
          </w:rPr>
          <w:t xml:space="preserve">https://osf.io/daj8b</w:t>
        </w:r>
      </w:hyperlink>
      <w:r>
        <w:t xml:space="preserve"> </w:t>
      </w:r>
      <w:r>
        <w:t xml:space="preserve">for a preregistration of this project.</w:t>
      </w:r>
    </w:p>
    <w:p>
      <w:pPr>
        <w:pStyle w:val="Heading4"/>
      </w:pPr>
      <w:bookmarkStart w:id="28" w:name="accounting-for-null-effects"/>
      <w:bookmarkEnd w:id="28"/>
      <w:r>
        <w:t xml:space="preserve">Accounting for null effects</w:t>
      </w:r>
    </w:p>
    <w:p>
      <w:pPr>
        <w:pStyle w:val="FirstParagraph"/>
      </w:pPr>
      <w:r>
        <w:t xml:space="preserve">An important question in assessing the degree to which effects are attenuated in this literature is how much this effect is driven by the presence of null effects (or effects so small as to be effectively null). The average disattenuation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 order to account for this issue, the average effect size attenuation was calculated using multiple methods of excluding original studies. Two methods are presented here, using equivalence testing and using the statistical significance of the replication study.</w:t>
      </w:r>
    </w:p>
    <w:p>
      <w:pPr>
        <w:pStyle w:val="Heading5"/>
      </w:pPr>
      <w:bookmarkStart w:id="29" w:name="statistical-significance-of-the-replication-study"/>
      <w:bookmarkEnd w:id="29"/>
      <w:r>
        <w:t xml:space="preserve">Statistical significance of the replication study</w:t>
      </w:r>
    </w:p>
    <w:p>
      <w:pPr>
        <w:pStyle w:val="FirstParagraph"/>
      </w:pPr>
      <w:r>
        <w:t xml:space="preserve">The first method is to only look at effects that reached statistical significance in the replication study in the same direction as the original effect. This has the issue of meaning that studies which were under-powered to detect a non-null but true effect are likely to be excluded from this analysis. Especially as in some of the replication projects the sample size in the second study, this method is likely to underestimate the amount of effect size exaggeration. Original studies which found large effects lead to follow up studies which have smaller sample sizes, and are therefore unlikely to reach statistical significance given a true but smaller effect size.</w:t>
      </w:r>
    </w:p>
    <w:p>
      <w:pPr>
        <w:pStyle w:val="Heading5"/>
      </w:pPr>
      <w:bookmarkStart w:id="30" w:name="equivilence-tests"/>
      <w:bookmarkEnd w:id="30"/>
      <w:r>
        <w:t xml:space="preserve">Equivilence tests</w:t>
      </w:r>
    </w:p>
    <w:p>
      <w:pPr>
        <w:pStyle w:val="FirstParagraph"/>
      </w:pPr>
      <w:r>
        <w:t xml:space="preserve">A second method we use is to exclude studies from estimates of the amount of effect size decrease based on whether the results of the replication study were statistically equivalent to the null or significant in the opposite direction {Lakens, 2017 #214;Lakens, 2018 #951}.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i.e., assuming a normal sampling distribution.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single case. This method means that replication studies which found effects which were not statistically equivalent to the null were retained.</w:t>
      </w:r>
    </w:p>
    <w:p>
      <w:pPr>
        <w:pStyle w:val="BodyText"/>
      </w:pPr>
      <w:r>
        <w:t xml:space="preserve">However, as original sample sizes were often very small, the minimum detectable effect was occasionally quite high (mean = 0.17, SD = 0.12, 0th, 25th, 50th, 75th and 100th quintiles = [0, 0.1, 0.15, 0.23, 0.74]), suggesting that in some cases the original study may have been massively under-powered to detect even large effects. Ideally, a full reanalysis would be performed for each original study. However, it was not feasible to extract and reperform full analyses for the over 600 total original and replication studies.</w:t>
      </w:r>
    </w:p>
    <w:p>
      <w:pPr>
        <w:pStyle w:val="Heading4"/>
      </w:pPr>
      <w:bookmarkStart w:id="31" w:name="simulation-studies"/>
      <w:bookmarkEnd w:id="31"/>
      <w:r>
        <w:t xml:space="preserve">Simulation studies</w:t>
      </w:r>
    </w:p>
    <w:p>
      <w:pPr>
        <w:pStyle w:val="FirstParagraph"/>
      </w:pPr>
      <w:r>
        <w:t xml:space="preserve">All methods function by removing studies which have low effect sizes, so it is a forgone conclusion that the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these methods estimate the amount of effect size attenuation under reasonable assumptions, see supplementary materials [simulation] for a full description of the simulation study output. In addition to the two methods presented here, approximate Bayes factors were developed based on the reported correlation coefficient transformed effect sizes and a Bayes factor cut score was used to exclude studies. However, because of the information available on each of the original and replication studies, and the approximate nature of the estimation method that was used (also relying on the correlation coefficients reported in the replication projects), these results were not considered accurate enough to be useful. In fact, in many cases they led to worse estimates of the true proportion of effect size attenuation in many cases (as estimated by (replication effect size-original effect size)/original effect size). For completeness, the results of all tests performed using cut scores are reported in supplementary materials [!]. None of the results of these methods would lead to substantially different conclusions being drawn.</w:t>
      </w:r>
    </w:p>
    <w:p>
      <w:pPr>
        <w:pStyle w:val="BodyText"/>
      </w:pPr>
      <w:r>
        <w:t xml:space="preserve">The results of the simulations suggest that none of these methods for removing effect sizes lead to particularly accurate estimates of the true mean proportion error or the true average reduction in effect sizes in extreme circumstances (i.e., the simulation studies show a Mean Absolute Error of 0.25, 0.15, 0.13 for estimates of the proportion of attenuation seen excluding no studies, those which were not significant and using equivalence testing respectively, over true attenuation and null hypothesis rates of 0 to 1). However, at reasonable levels of attenuation and proportion of null effects being correct, these methods seem to be much more reliable (e.g., excluding simulations with a proportion of null results or attrition of .8 or greater, these methods have a mean absolute errors of 0.23, 0.08, 0.06 for estimates of the mean proportion of attenuation seen when including all studies, excluding non-significant studies, and exlculding statistically-equivilent to the null studies respectivly).</w:t>
      </w:r>
    </w:p>
    <w:p>
      <w:pPr>
        <w:pStyle w:val="Heading3"/>
      </w:pPr>
      <w:bookmarkStart w:id="32" w:name="leave-one-out-cross-validation"/>
      <w:bookmarkEnd w:id="32"/>
      <w:r>
        <w:t xml:space="preserve">Leave one out cross validation</w:t>
      </w:r>
    </w:p>
    <w:p>
      <w:pPr>
        <w:pStyle w:val="FirstParagraph"/>
      </w:pPr>
      <w:r>
        <w:t xml:space="preserve">There is no accepted default manner of Leave One Out (LOO) cross validation for MLM, so in order to assess whether the main results of this study are sensitive to the inclusion of each of the replication projects and individual findings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 for a table of the proportion of model estimate p values below .05, and estimate quintiles for each model from the leave on out cross validation on the study and project levels. None of these changes would lead to substantially different conclusions being drawn from the model output.</w:t>
      </w:r>
    </w:p>
    <w:p>
      <w:pPr>
        <w:pStyle w:val="Heading2"/>
      </w:pPr>
      <w:bookmarkStart w:id="33" w:name="results"/>
      <w:bookmarkEnd w:id="33"/>
      <w:r>
        <w:t xml:space="preserve">Results</w:t>
      </w:r>
    </w:p>
    <w:p>
      <w:pPr>
        <w:pStyle w:val="FirstParagraph"/>
      </w:pPr>
      <w:r>
        <w:t xml:space="preserve">In the following I outline the raw decreases that are seen looking at all articles, the results of the methods of removing the null results from these raw figures, and finally the results of the multilevel models. The best estimates of the amount of effect size decrease that should be expected are developed from the multilevel models.</w:t>
      </w:r>
    </w:p>
    <w:p>
      <w:pPr>
        <w:pStyle w:val="Heading3"/>
      </w:pPr>
      <w:bookmarkStart w:id="34" w:name="raw-decreases-ignoring-grouping"/>
      <w:bookmarkEnd w:id="34"/>
      <w:r>
        <w:t xml:space="preserve">Raw decreases ignoring grouping</w:t>
      </w:r>
    </w:p>
    <w:p>
      <w:pPr>
        <w:pStyle w:val="FirstParagraph"/>
      </w:pPr>
      <w:r>
        <w:t xml:space="preserve">Looking at the 314 replications for which both original and replication effect sizes were available, the effect size seen in the replication study fell in 227, 72 of articles. The average effect for original studies was 0.38, and the mean effect size for replication studies was 0.27. There was an average decrease of r = -0.13 (naive 95% CI [-0.16, -0.1]). Notably, this represents an average decrease in effect sizes from the original to the replication study of -29.44%. See Table 2 for a more comprehensive list of descriptives on the effect size differences seen, and figure 1 for a scatterplot of the replication effect sizes plotted against the original studies’.</w:t>
      </w:r>
    </w:p>
    <w:p>
      <w:pPr>
        <w:pStyle w:val="SourceCode"/>
      </w:pPr>
      <w:r>
        <w:rPr>
          <w:rStyle w:val="NormalTok"/>
        </w:rPr>
        <w:t xml:space="preserve">plotAllData</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219</w:t>
            </w:r>
          </w:p>
        </w:tc>
        <w:tc>
          <w:p>
            <w:pPr>
              <w:pStyle w:val="Compact"/>
              <w:jc w:val="right"/>
            </w:pPr>
            <w:r>
              <w:t xml:space="preserve">314</w:t>
            </w:r>
          </w:p>
        </w:tc>
        <w:tc>
          <w:p>
            <w:pPr>
              <w:pStyle w:val="Compact"/>
              <w:jc w:val="right"/>
            </w:pPr>
            <w:r>
              <w:t xml:space="preserve">0.41</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bl>
    <w:p>
      <w:pPr>
        <w:pStyle w:val="BodyText"/>
      </w:pPr>
      <w:r>
        <w:t xml:space="preserve">The same pattern of results are seen in every</w:t>
      </w:r>
    </w:p>
    <w:p>
      <w:pPr>
        <w:pStyle w:val="Heading3"/>
      </w:pPr>
      <w:bookmarkStart w:id="36" w:name="examining-only-the-statistically-significant-studies"/>
      <w:bookmarkEnd w:id="36"/>
      <w:r>
        <w:t xml:space="preserve">Examining only the statistically significant studies</w:t>
      </w:r>
    </w:p>
    <w:p>
      <w:pPr>
        <w:pStyle w:val="FirstParagraph"/>
      </w:pPr>
      <w:r>
        <w:t xml:space="preserve">Looking at the 219 replications in which the replication study was statistically significant, the average effect for original studies was 0.41, and the mean effect size for replication studies was 0.38. There was an average decrease of r = -0.02 (naive 95% CI [-0.05, 0, an average decrease of 3.47%. Removing studies which are not statistically significant, the average effect size decrease is of a smaller magnitude.</w:t>
      </w:r>
    </w:p>
    <w:p>
      <w:pPr>
        <w:pStyle w:val="BodyText"/>
      </w:pPr>
      <w:r>
        <w:t xml:space="preserve">Of course, using this rule for excluding studies is likely to lead to a under-exaggeration of the issue, as this exclusion rule will lead to the exclusion of under-powered replication studies as well as studies which are likely to be true null effects. In order to avoid</w:t>
      </w:r>
    </w:p>
    <w:p>
      <w:pPr>
        <w:pStyle w:val="Heading3"/>
      </w:pPr>
      <w:bookmarkStart w:id="37" w:name="equivilence-tests-1"/>
      <w:bookmarkEnd w:id="37"/>
      <w:r>
        <w:t xml:space="preserve">Equivilence tests</w:t>
      </w:r>
    </w:p>
    <w:p>
      <w:pPr>
        <w:pStyle w:val="Heading3"/>
      </w:pPr>
      <w:bookmarkStart w:id="38" w:name="bfs"/>
      <w:bookmarkEnd w:id="38"/>
      <w:r>
        <w:t xml:space="preserve">BFs</w:t>
      </w:r>
    </w:p>
    <w:p>
      <w:pPr>
        <w:pStyle w:val="Heading4"/>
      </w:pPr>
      <w:bookmarkStart w:id="39" w:name="bf_01"/>
      <w:bookmarkEnd w:id="39"/>
      <m:oMath>
        <m:r>
          <m:t>B</m:t>
        </m:r>
        <m:sSub>
          <m:e>
            <m:r>
              <m:t>F</m:t>
            </m:r>
          </m:e>
          <m:sub>
            <m:r>
              <m:t>01</m:t>
            </m:r>
          </m:sub>
        </m:sSub>
      </m:oMath>
    </w:p>
    <w:p>
      <w:pPr>
        <w:pStyle w:val="FirstParagraph"/>
      </w:pPr>
      <w:r>
        <w:t xml:space="preserve">Excluding just those studies which provide at least moderate evidence for the null paints a similar picture,</w:t>
      </w:r>
    </w:p>
    <w:p>
      <w:pPr>
        <w:pStyle w:val="Heading4"/>
      </w:pPr>
      <w:bookmarkStart w:id="40" w:name="bf_0"/>
      <w:bookmarkEnd w:id="40"/>
      <m:oMath>
        <m:r>
          <m:t>B</m:t>
        </m:r>
        <m:sSub>
          <m:e>
            <m:r>
              <m:t>F</m:t>
            </m:r>
          </m:e>
          <m:sub>
            <m:r>
              <m:t>0</m:t>
            </m:r>
            <m:r>
              <m:t>+</m:t>
            </m:r>
          </m:sub>
        </m:sSub>
      </m:oMath>
    </w:p>
    <w:p>
      <w:pPr>
        <w:pStyle w:val="Heading4"/>
      </w:pPr>
      <w:bookmarkStart w:id="41" w:name="bf_0rep"/>
      <w:bookmarkEnd w:id="41"/>
      <m:oMath>
        <m:r>
          <m:t>B</m:t>
        </m:r>
        <m:sSub>
          <m:e>
            <m:r>
              <m:t>F</m:t>
            </m:r>
          </m:e>
          <m:sub>
            <m:r>
              <m:t>0</m:t>
            </m:r>
            <m:r>
              <m:t>r</m:t>
            </m:r>
            <m:r>
              <m:t>e</m:t>
            </m:r>
            <m:r>
              <m:t>p</m:t>
            </m:r>
          </m:sub>
        </m:sSub>
      </m:oMath>
    </w:p>
    <w:p>
      <w:pPr>
        <w:pStyle w:val="Heading3"/>
      </w:pPr>
      <w:bookmarkStart w:id="42" w:name="multilevel-models"/>
      <w:bookmarkEnd w:id="42"/>
      <w:r>
        <w:t xml:space="preserve">Multilevel models</w:t>
      </w:r>
    </w:p>
    <w:p>
      <w:pPr>
        <w:pStyle w:val="Heading2"/>
      </w:pPr>
      <w:bookmarkStart w:id="43" w:name="results-1"/>
      <w:bookmarkEnd w:id="43"/>
      <w:r>
        <w:t xml:space="preserve">Results</w:t>
      </w:r>
    </w:p>
    <w:p>
      <w:pPr>
        <w:pStyle w:val="Heading4"/>
      </w:pPr>
      <w:bookmarkStart w:id="44" w:name="limitiations"/>
      <w:bookmarkEnd w:id="44"/>
      <w:r>
        <w:t xml:space="preserve">Limitiations:</w:t>
      </w:r>
    </w:p>
    <w:p>
      <w:pPr>
        <w:pStyle w:val="FirstParagraph"/>
      </w:pPr>
      <w:r>
        <w:t xml:space="preserve">None of the projects included in this analysis were true random selections from the literature, and it is possible that the pattern in the selected sample may be different that that which would be seen in the literature overall.</w:t>
      </w:r>
    </w:p>
    <w:p>
      <w:pPr>
        <w:pStyle w:val="BodyText"/>
      </w:pPr>
      <w:r>
        <w:t xml:space="preserve">All of the methods that were used to the replication studies which were null-or-effectively were bound to decrease the amount of effect size decrease that is seen. At worst, they could be seen as just removing the studies which happened to find low effects as opposed to removing all the true null hypotheses. However, this preliminary analysis does provide suggestive evidence that the degree of effect size attenuation that is seen may be largely att</w:t>
      </w:r>
    </w:p>
    <w:p>
      <w:pPr>
        <w:pStyle w:val="Heading2"/>
      </w:pPr>
      <w:bookmarkStart w:id="46" w:name="httpsosf.ioz7aux"/>
      <w:bookmarkEnd w:id="46"/>
      <w:hyperlink r:id="rId45">
        <w:r>
          <w:rPr>
            <w:rStyle w:val="Hyperlink"/>
          </w:rPr>
          <w:t xml:space="preserve">https://osf.io/z7aux/</w:t>
        </w:r>
      </w:hyperlink>
    </w:p>
    <w:p>
      <w:pPr>
        <w:pStyle w:val="Heading2"/>
      </w:pPr>
      <w:bookmarkStart w:id="47" w:name="have-to-go-through-and-remove-those-based-on"/>
      <w:bookmarkEnd w:id="47"/>
      <w:r>
        <w:t xml:space="preserve">HAVE TO GO THROUGH AND REMOVE THOSE BASED ON</w:t>
      </w:r>
    </w:p>
    <w:p>
      <w:pPr>
        <w:pStyle w:val="Heading8"/>
      </w:pPr>
      <w:bookmarkStart w:id="48" w:name="section"/>
      <w:bookmarkEnd w:id="48"/>
    </w:p>
    <w:p>
      <w:pPr>
        <w:pStyle w:val="FirstParagraph"/>
      </w:pPr>
      <w:r>
        <w:t xml:space="preserve">NOTE ! ! ! - it may be important to use dis-attenuated values from LOOPR because they used short form analyses</w:t>
      </w:r>
    </w:p>
    <w:p>
      <w:pPr>
        <w:pStyle w:val="Heading2"/>
      </w:pPr>
      <w:bookmarkStart w:id="49" w:name="supplementary-material"/>
      <w:bookmarkEnd w:id="49"/>
      <w:r>
        <w:t xml:space="preserve">Supplementary material</w:t>
      </w:r>
    </w:p>
    <w:p>
      <w:pPr>
        <w:pStyle w:val="Heading2"/>
      </w:pPr>
      <w:bookmarkStart w:id="50" w:name="alternative-removal-methods"/>
      <w:bookmarkEnd w:id="50"/>
      <w:r>
        <w:t xml:space="preserve">Alternative removal methods</w:t>
      </w:r>
    </w:p>
    <w:p>
      <w:pPr>
        <w:pStyle w:val="Heading5"/>
      </w:pPr>
      <w:bookmarkStart w:id="51" w:name="approximate-bayes-factors"/>
      <w:bookmarkEnd w:id="51"/>
      <w:r>
        <w:t xml:space="preserve">Approximate bayes factors</w:t>
      </w:r>
    </w:p>
    <w:p>
      <w:pPr>
        <w:pStyle w:val="FirstParagraph"/>
      </w:pPr>
      <w:r>
        <w:t xml:space="preserve">Three different types of Bayes factors were developed for each study using default priors following {Wagenmakers, 2016 #994} using the effect sizes converted into correlation coefficients from each study. Bayes Factors express the relative evidence for the null hypothesis compared to an alternative model, or equivalently the degree to which a Bayesian observer should update their prior beliefs in response to the receipt of new data.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and Bayes factors from 3-10 provide</w:t>
      </w:r>
      <w:r>
        <w:t xml:space="preserve"> </w:t>
      </w:r>
      <w:r>
        <w:t xml:space="preserve">“</w:t>
      </w:r>
      <w:r>
        <w:t xml:space="preserve">substantial</w:t>
      </w:r>
      <w:r>
        <w:t xml:space="preserve">”</w:t>
      </w:r>
      <w:r>
        <w:t xml:space="preserve"> </w:t>
      </w:r>
      <w:r>
        <w:t xml:space="preserve">evidence {Jeﬀreys, 1961 #1001}.</w:t>
      </w:r>
    </w:p>
    <w:p>
      <w:pPr>
        <w:pStyle w:val="BodyText"/>
      </w:pPr>
      <w:r>
        <w:t xml:space="preserve">Two of the developed Bayes Factors ignore the original study and express the relative evidence for and against the point null entirely based on results of the replication study, using a one tailed (</w:t>
      </w:r>
      <m:oMath>
        <m:r>
          <m:t>B</m:t>
        </m:r>
        <m:sSub>
          <m:e>
            <m:r>
              <m:t>F</m:t>
            </m:r>
          </m:e>
          <m:sub>
            <m:r>
              <m:t>0</m:t>
            </m:r>
            <m:r>
              <m:t>+</m:t>
            </m:r>
          </m:sub>
        </m:sSub>
      </m:oMath>
      <w:r>
        <w:t xml:space="preserve">) and and two tailed (</w:t>
      </w:r>
      <m:oMath>
        <m:r>
          <m:t>B</m:t>
        </m:r>
        <m:sSub>
          <m:e>
            <m:r>
              <m:t>F</m:t>
            </m:r>
          </m:e>
          <m:sub>
            <m:r>
              <m:t>01</m:t>
            </m:r>
          </m:sub>
        </m:sSub>
      </m:oMath>
      <w:r>
        <w:t xml:space="preserve">) alternative hypothesis. Replication Bayes Factors (</w:t>
      </w:r>
      <m:oMath>
        <m:r>
          <m:t>B</m:t>
        </m:r>
        <m:sSub>
          <m:e>
            <m:r>
              <m:t>F</m:t>
            </m:r>
          </m:e>
          <m:sub>
            <m:r>
              <m:t>r</m:t>
            </m:r>
            <m:r>
              <m:t>e</m:t>
            </m:r>
            <m:r>
              <m:t>p</m:t>
            </m:r>
            <m:r>
              <m:t>1</m:t>
            </m:r>
          </m:sub>
        </m:sSub>
      </m:oMath>
      <w:r>
        <w:t xml:space="preserve">) were also developed, in which the prior for the replication correlation coefficient is the posterior based on the original research {Wagenmakers, 2016 #994}. This papers follows the typical notation where the order of the subscripts indicate whether a Bayes Factor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 All of these Bayes factors were developed using only the transformed effect sizes and samples sizes reported in the Replication projects {Wagenmakers, 2016 #994}. Importantly, these Bayes factors differ from those that would normally be developed using the closest Bayesian equivalents to each original replicated study’s analysis, and are not intended as anything more than a coarse estimate of the degree of evidence provided for and against the null model. See table [bayesFactors] for a table showing the differences between the values returned by this method compared to those reported in the Bayesian supplement to which were more appropriately calculated {Camerer, 2018 #967}. See Table [all estimates output] for a list of all of the model and raw estimates output using all tested cut scores. None lead to substantially different conclusions.</w:t>
      </w:r>
    </w:p>
    <w:p>
      <w:pPr>
        <w:pStyle w:val="Heading4"/>
      </w:pPr>
      <w:bookmarkStart w:id="52" w:name="table-bayesfactors"/>
      <w:bookmarkEnd w:id="52"/>
      <w:r>
        <w:t xml:space="preserve">Table [BayesFactors]</w:t>
      </w:r>
    </w:p>
    <w:p>
      <w:pPr>
        <w:pStyle w:val="FirstParagraph"/>
      </w:pP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BodyText"/>
      </w:pPr>
      <w:r>
        <w:t xml:space="preserve">These results were not considered sufficiently accurate, and alongside the results of the following simulations, it seemed reasonable to base the main inferences of this paper on the results of the frequentest analyses which had preferable properties.</w:t>
      </w:r>
    </w:p>
    <w:p>
      <w:pPr>
        <w:pStyle w:val="Heading3"/>
      </w:pPr>
      <w:bookmarkStart w:id="53" w:name="simulation-of-removal-methods"/>
      <w:bookmarkEnd w:id="53"/>
      <w:r>
        <w:t xml:space="preserve">Simulation of removal methods</w:t>
      </w:r>
    </w:p>
    <w:p>
      <w:pPr>
        <w:pStyle w:val="FirstParagraph"/>
      </w:pPr>
      <w:r>
        <w:t xml:space="preserve">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be 0 randomly. Notably, these simulations assumed that the probability of each study being a true null results was unrelated to the original effect size, sample size, source or original paper. See Table [all estimates output] for a table of how each method functions under each scenario, along with the number of simulations that make up each value. See Plots [simulation] - [simulation] for heat maps of the root mean square error (RMSE), the mean absolute error (MAE) and average error are reported below in tables for all models. See table [simulation output] for a table of each method’s root mean square error (RMSE), the mean absolute error (MAE) and average error at each level of detail.</w:t>
      </w:r>
    </w:p>
    <w:p>
      <w:pPr>
        <w:pStyle w:val="Heading5"/>
      </w:pPr>
      <w:bookmarkStart w:id="54" w:name="table-all-estimates-output"/>
      <w:bookmarkEnd w:id="54"/>
      <w:r>
        <w:t xml:space="preserve">Table [all estimates output]</w:t>
      </w:r>
    </w:p>
    <w:p>
      <w:pPr>
        <w:pStyle w:val="FirstParagraph"/>
      </w:pPr>
      <w:r>
        <w:t xml:space="preserve">A table of all of the output from</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219</w:t>
            </w:r>
          </w:p>
        </w:tc>
        <w:tc>
          <w:p>
            <w:pPr>
              <w:pStyle w:val="Compact"/>
              <w:jc w:val="right"/>
            </w:pPr>
            <w:r>
              <w:t xml:space="preserve">314</w:t>
            </w:r>
          </w:p>
        </w:tc>
        <w:tc>
          <w:p>
            <w:pPr>
              <w:pStyle w:val="Compact"/>
              <w:jc w:val="right"/>
            </w:pPr>
            <w:r>
              <w:t xml:space="preserve">0.41</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160</w:t>
            </w:r>
          </w:p>
        </w:tc>
        <w:tc>
          <w:p>
            <w:pPr>
              <w:pStyle w:val="Compact"/>
              <w:jc w:val="right"/>
            </w:pPr>
            <w:r>
              <w:t xml:space="preserve">243</w:t>
            </w:r>
          </w:p>
        </w:tc>
        <w:tc>
          <w:p>
            <w:pPr>
              <w:pStyle w:val="Compact"/>
              <w:jc w:val="right"/>
            </w:pPr>
            <w:r>
              <w:t xml:space="preserve">0.40</w:t>
            </w:r>
          </w:p>
        </w:tc>
        <w:tc>
          <w:p>
            <w:pPr>
              <w:pStyle w:val="Compact"/>
              <w:jc w:val="right"/>
            </w:pPr>
            <w:r>
              <w:t xml:space="preserve">0.33</w:t>
            </w:r>
          </w:p>
        </w:tc>
        <w:tc>
          <w:p>
            <w:pPr>
              <w:pStyle w:val="Compact"/>
              <w:jc w:val="right"/>
            </w:pPr>
            <w:r>
              <w:t xml:space="preserve">0.34</w:t>
            </w:r>
          </w:p>
        </w:tc>
        <w:tc>
          <w:p>
            <w:pPr>
              <w:pStyle w:val="Compact"/>
              <w:jc w:val="right"/>
            </w:pPr>
            <w:r>
              <w:t xml:space="preserve">0.28</w:t>
            </w:r>
          </w:p>
        </w:tc>
        <w:tc>
          <w:p>
            <w:pPr>
              <w:pStyle w:val="Compact"/>
              <w:jc w:val="right"/>
            </w:pPr>
            <w:r>
              <w:t xml:space="preserve">-0.07</w:t>
            </w:r>
          </w:p>
        </w:tc>
        <w:tc>
          <w:p>
            <w:pPr>
              <w:pStyle w:val="Compact"/>
              <w:jc w:val="right"/>
            </w:pPr>
            <w:r>
              <w:t xml:space="preserve">-0.10</w:t>
            </w:r>
          </w:p>
        </w:tc>
        <w:tc>
          <w:p>
            <w:pPr>
              <w:pStyle w:val="Compact"/>
              <w:jc w:val="right"/>
            </w:pPr>
            <w:r>
              <w:t xml:space="preserve">-0.05</w:t>
            </w:r>
          </w:p>
        </w:tc>
        <w:tc>
          <w:p>
            <w:pPr>
              <w:pStyle w:val="Compact"/>
              <w:jc w:val="right"/>
            </w:pPr>
            <w:r>
              <w:t xml:space="preserve">-0.08</w:t>
            </w:r>
          </w:p>
        </w:tc>
        <w:tc>
          <w:p>
            <w:pPr>
              <w:pStyle w:val="Compact"/>
              <w:jc w:val="right"/>
            </w:pPr>
            <w:r>
              <w:t xml:space="preserve">0.18</w:t>
            </w:r>
          </w:p>
        </w:tc>
        <w:tc>
          <w:p>
            <w:pPr>
              <w:pStyle w:val="Compact"/>
              <w:jc w:val="right"/>
            </w:pPr>
            <w:r>
              <w:t xml:space="preserve">-0.15</w:t>
            </w:r>
          </w:p>
        </w:tc>
        <w:tc>
          <w:p>
            <w:pPr>
              <w:pStyle w:val="Compact"/>
              <w:jc w:val="right"/>
            </w:pPr>
            <w:r>
              <w:t xml:space="preserve">-0.23</w:t>
            </w:r>
          </w:p>
        </w:tc>
      </w:tr>
      <w:tr>
        <w:tc>
          <w:p>
            <w:pPr>
              <w:pStyle w:val="Compact"/>
              <w:jc w:val="left"/>
            </w:pPr>
            <w:r>
              <w:t xml:space="preserve">BFRep0Above3</w:t>
            </w:r>
          </w:p>
        </w:tc>
        <w:tc>
          <w:p>
            <w:pPr>
              <w:pStyle w:val="Compact"/>
              <w:jc w:val="right"/>
            </w:pPr>
            <w:r>
              <w:t xml:space="preserve">126</w:t>
            </w:r>
          </w:p>
        </w:tc>
        <w:tc>
          <w:p>
            <w:pPr>
              <w:pStyle w:val="Compact"/>
              <w:jc w:val="right"/>
            </w:pPr>
            <w:r>
              <w:t xml:space="preserve">243</w:t>
            </w:r>
          </w:p>
        </w:tc>
        <w:tc>
          <w:p>
            <w:pPr>
              <w:pStyle w:val="Compact"/>
              <w:jc w:val="right"/>
            </w:pPr>
            <w:r>
              <w:t xml:space="preserve">0.43</w:t>
            </w:r>
          </w:p>
        </w:tc>
        <w:tc>
          <w:p>
            <w:pPr>
              <w:pStyle w:val="Compact"/>
              <w:jc w:val="right"/>
            </w:pPr>
            <w:r>
              <w:t xml:space="preserve">0.35</w:t>
            </w:r>
          </w:p>
        </w:tc>
        <w:tc>
          <w:p>
            <w:pPr>
              <w:pStyle w:val="Compact"/>
              <w:jc w:val="right"/>
            </w:pPr>
            <w:r>
              <w:t xml:space="preserve">0.39</w:t>
            </w:r>
          </w:p>
        </w:tc>
        <w:tc>
          <w:p>
            <w:pPr>
              <w:pStyle w:val="Compact"/>
              <w:jc w:val="right"/>
            </w:pPr>
            <w:r>
              <w:t xml:space="preserve">0.32</w:t>
            </w:r>
          </w:p>
        </w:tc>
        <w:tc>
          <w:p>
            <w:pPr>
              <w:pStyle w:val="Compact"/>
              <w:jc w:val="right"/>
            </w:pPr>
            <w:r>
              <w:t xml:space="preserve">-0.04</w:t>
            </w:r>
          </w:p>
        </w:tc>
        <w:tc>
          <w:p>
            <w:pPr>
              <w:pStyle w:val="Compact"/>
              <w:jc w:val="right"/>
            </w:pPr>
            <w:r>
              <w:t xml:space="preserve">-0.07</w:t>
            </w:r>
          </w:p>
        </w:tc>
        <w:tc>
          <w:p>
            <w:pPr>
              <w:pStyle w:val="Compact"/>
              <w:jc w:val="right"/>
            </w:pPr>
            <w:r>
              <w:t xml:space="preserve">-0.01</w:t>
            </w:r>
          </w:p>
        </w:tc>
        <w:tc>
          <w:p>
            <w:pPr>
              <w:pStyle w:val="Compact"/>
              <w:jc w:val="right"/>
            </w:pPr>
            <w:r>
              <w:t xml:space="preserve">-0.04</w:t>
            </w:r>
          </w:p>
        </w:tc>
        <w:tc>
          <w:p>
            <w:pPr>
              <w:pStyle w:val="Compact"/>
              <w:jc w:val="right"/>
            </w:pPr>
            <w:r>
              <w:t xml:space="preserve">0.18</w:t>
            </w:r>
          </w:p>
        </w:tc>
        <w:tc>
          <w:p>
            <w:pPr>
              <w:pStyle w:val="Compact"/>
              <w:jc w:val="right"/>
            </w:pPr>
            <w:r>
              <w:t xml:space="preserve">-0.04</w:t>
            </w:r>
          </w:p>
        </w:tc>
        <w:tc>
          <w:p>
            <w:pPr>
              <w:pStyle w:val="Compact"/>
              <w:jc w:val="right"/>
            </w:pPr>
            <w:r>
              <w:t xml:space="preserve">-0.11</w:t>
            </w:r>
          </w:p>
        </w:tc>
      </w:tr>
      <w:tr>
        <w:tc>
          <w:p>
            <w:pPr>
              <w:pStyle w:val="Compact"/>
              <w:jc w:val="left"/>
            </w:pPr>
            <w:r>
              <w:t xml:space="preserve">BF01Below3</w:t>
            </w:r>
          </w:p>
        </w:tc>
        <w:tc>
          <w:p>
            <w:pPr>
              <w:pStyle w:val="Compact"/>
              <w:jc w:val="right"/>
            </w:pPr>
            <w:r>
              <w:t xml:space="preserve">221</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177</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232</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5"/>
      </w:pPr>
      <w:bookmarkStart w:id="55" w:name="table-all-model-output"/>
      <w:bookmarkEnd w:id="55"/>
      <w:r>
        <w:t xml:space="preserve">Table [all model output]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modelN</w:t>
            </w:r>
          </w:p>
        </w:tc>
        <w:tc>
          <w:tcPr>
            <w:tcBorders>
              <w:bottom w:val="single"/>
            </w:tcBorders>
            <w:vAlign w:val="bottom"/>
          </w:tcPr>
          <w:p>
            <w:pPr>
              <w:pStyle w:val="Compact"/>
              <w:jc w:val="right"/>
            </w:pPr>
            <w:r>
              <w:t xml:space="preserve">modelEstimate</w:t>
            </w:r>
          </w:p>
        </w:tc>
        <w:tc>
          <w:tcPr>
            <w:tcBorders>
              <w:bottom w:val="single"/>
            </w:tcBorders>
            <w:vAlign w:val="bottom"/>
          </w:tcPr>
          <w:p>
            <w:pPr>
              <w:pStyle w:val="Compact"/>
              <w:jc w:val="right"/>
            </w:pPr>
            <w:r>
              <w:t xml:space="preserve">MLM95lb</w:t>
            </w:r>
          </w:p>
        </w:tc>
        <w:tc>
          <w:tcPr>
            <w:tcBorders>
              <w:bottom w:val="single"/>
            </w:tcBorders>
            <w:vAlign w:val="bottom"/>
          </w:tcPr>
          <w:p>
            <w:pPr>
              <w:pStyle w:val="Compact"/>
              <w:jc w:val="right"/>
            </w:pPr>
            <w:r>
              <w:t xml:space="preserve">MLM95ub</w:t>
            </w:r>
          </w:p>
        </w:tc>
      </w:tr>
      <w:tr>
        <w:tc>
          <w:p>
            <w:pPr>
              <w:pStyle w:val="Compact"/>
              <w:jc w:val="left"/>
            </w:pPr>
            <w:r>
              <w:t xml:space="preserve">Overall</w:t>
            </w:r>
          </w:p>
        </w:tc>
        <w:tc>
          <w:p>
            <w:pPr>
              <w:pStyle w:val="Compact"/>
              <w:jc w:val="right"/>
            </w:pPr>
            <w:r>
              <w:t xml:space="preserve">305</w:t>
            </w:r>
          </w:p>
        </w:tc>
        <w:tc>
          <w:p>
            <w:pPr>
              <w:pStyle w:val="Compact"/>
              <w:jc w:val="right"/>
            </w:pPr>
            <w:r>
              <w:t xml:space="preserve">-0.14</w:t>
            </w:r>
          </w:p>
        </w:tc>
        <w:tc>
          <w:p>
            <w:pPr>
              <w:pStyle w:val="Compact"/>
              <w:jc w:val="right"/>
            </w:pPr>
            <w:r>
              <w:t xml:space="preserve">-0.21</w:t>
            </w:r>
          </w:p>
        </w:tc>
        <w:tc>
          <w:p>
            <w:pPr>
              <w:pStyle w:val="Compact"/>
              <w:jc w:val="right"/>
            </w:pPr>
            <w:r>
              <w:t xml:space="preserve">-0.07</w:t>
            </w:r>
          </w:p>
        </w:tc>
      </w:tr>
      <w:tr>
        <w:tc>
          <w:p>
            <w:pPr>
              <w:pStyle w:val="Compact"/>
              <w:jc w:val="left"/>
            </w:pPr>
            <w:r>
              <w:t xml:space="preserve">StatisticalSignificance</w:t>
            </w:r>
          </w:p>
        </w:tc>
        <w:tc>
          <w:p>
            <w:pPr>
              <w:pStyle w:val="Compact"/>
              <w:jc w:val="right"/>
            </w:pPr>
            <w:r>
              <w:t xml:space="preserve">194</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r>
      <w:tr>
        <w:tc>
          <w:p>
            <w:pPr>
              <w:pStyle w:val="Compact"/>
              <w:jc w:val="left"/>
            </w:pPr>
            <w:r>
              <w:t xml:space="preserve">BF0PBelow3</w:t>
            </w:r>
          </w:p>
        </w:tc>
        <w:tc>
          <w:p>
            <w:pPr>
              <w:pStyle w:val="Compact"/>
              <w:jc w:val="right"/>
            </w:pPr>
            <w:r>
              <w:t xml:space="preserve">228</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r>
      <w:tr>
        <w:tc>
          <w:p>
            <w:pPr>
              <w:pStyle w:val="Compact"/>
              <w:jc w:val="left"/>
            </w:pPr>
            <w:r>
              <w:t xml:space="preserve">BFP0Above3</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r>
        <w:tc>
          <w:p>
            <w:pPr>
              <w:pStyle w:val="Compact"/>
              <w:jc w:val="left"/>
            </w:pPr>
            <w:r>
              <w:t xml:space="preserve">BF01Below3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r>
      <w:tr>
        <w:tc>
          <w:p>
            <w:pPr>
              <w:pStyle w:val="Compact"/>
              <w:jc w:val="left"/>
            </w:pPr>
            <w:r>
              <w:t xml:space="preserve">BF10Above3</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r>
      <w:tr>
        <w:tc>
          <w:p>
            <w:pPr>
              <w:pStyle w:val="Compact"/>
              <w:jc w:val="left"/>
            </w:pPr>
            <w:r>
              <w:t xml:space="preserve">BF0RepBelow3</w:t>
            </w:r>
          </w:p>
        </w:tc>
        <w:tc>
          <w:p>
            <w:pPr>
              <w:pStyle w:val="Compact"/>
              <w:jc w:val="right"/>
            </w:pPr>
            <w:r>
              <w:t xml:space="preserve">160</w:t>
            </w:r>
          </w:p>
        </w:tc>
        <w:tc>
          <w:p>
            <w:pPr>
              <w:pStyle w:val="Compact"/>
              <w:jc w:val="right"/>
            </w:pPr>
            <w:r>
              <w:t xml:space="preserve">-0.09</w:t>
            </w:r>
          </w:p>
        </w:tc>
        <w:tc>
          <w:p>
            <w:pPr>
              <w:pStyle w:val="Compact"/>
              <w:jc w:val="right"/>
            </w:pPr>
            <w:r>
              <w:t xml:space="preserve">-0.15</w:t>
            </w:r>
          </w:p>
        </w:tc>
        <w:tc>
          <w:p>
            <w:pPr>
              <w:pStyle w:val="Compact"/>
              <w:jc w:val="right"/>
            </w:pPr>
            <w:r>
              <w:t xml:space="preserve">-0.03</w:t>
            </w:r>
          </w:p>
        </w:tc>
      </w:tr>
      <w:tr>
        <w:tc>
          <w:p>
            <w:pPr>
              <w:pStyle w:val="Compact"/>
              <w:jc w:val="left"/>
            </w:pPr>
            <w:r>
              <w:t xml:space="preserve">BFRep0Above3</w:t>
            </w:r>
          </w:p>
        </w:tc>
        <w:tc>
          <w:p>
            <w:pPr>
              <w:pStyle w:val="Compact"/>
              <w:jc w:val="right"/>
            </w:pPr>
            <w:r>
              <w:t xml:space="preserve">126</w:t>
            </w:r>
          </w:p>
        </w:tc>
        <w:tc>
          <w:p>
            <w:pPr>
              <w:pStyle w:val="Compact"/>
              <w:jc w:val="right"/>
            </w:pPr>
            <w:r>
              <w:t xml:space="preserve">-0.07</w:t>
            </w:r>
          </w:p>
        </w:tc>
        <w:tc>
          <w:p>
            <w:pPr>
              <w:pStyle w:val="Compact"/>
              <w:jc w:val="right"/>
            </w:pPr>
            <w:r>
              <w:t xml:space="preserve">-0.13</w:t>
            </w:r>
          </w:p>
        </w:tc>
        <w:tc>
          <w:p>
            <w:pPr>
              <w:pStyle w:val="Compact"/>
              <w:jc w:val="right"/>
            </w:pPr>
            <w:r>
              <w:t xml:space="preserve">0.00</w:t>
            </w:r>
          </w:p>
        </w:tc>
      </w:tr>
      <w:tr>
        <w:tc>
          <w:p>
            <w:pPr>
              <w:pStyle w:val="Compact"/>
              <w:jc w:val="left"/>
            </w:pPr>
            <w:r>
              <w:t xml:space="preserve">Nonequivalence</w:t>
            </w:r>
          </w:p>
        </w:tc>
        <w:tc>
          <w:p>
            <w:pPr>
              <w:pStyle w:val="Compact"/>
              <w:jc w:val="right"/>
            </w:pPr>
            <w:r>
              <w:t xml:space="preserve">235</w:t>
            </w:r>
          </w:p>
        </w:tc>
        <w:tc>
          <w:p>
            <w:pPr>
              <w:pStyle w:val="Compact"/>
              <w:jc w:val="right"/>
            </w:pPr>
            <w:r>
              <w:t xml:space="preserve">-0.08</w:t>
            </w:r>
          </w:p>
        </w:tc>
        <w:tc>
          <w:p>
            <w:pPr>
              <w:pStyle w:val="Compact"/>
              <w:jc w:val="right"/>
            </w:pPr>
            <w:r>
              <w:t xml:space="preserve">-0.16</w:t>
            </w:r>
          </w:p>
        </w:tc>
        <w:tc>
          <w:p>
            <w:pPr>
              <w:pStyle w:val="Compact"/>
              <w:jc w:val="right"/>
            </w:pPr>
            <w:r>
              <w:t xml:space="preserve">-0.01</w:t>
            </w:r>
          </w:p>
        </w:tc>
      </w:tr>
    </w:tbl>
    <w:p>
      <w:pPr>
        <w:pStyle w:val="Heading5"/>
      </w:pPr>
      <w:bookmarkStart w:id="56" w:name="plots-of-the-relationship-between-original-and-replication-correlation-coefficents-removing-different-sets-of-possibly-null-results"/>
      <w:bookmarkEnd w:id="56"/>
      <w:r>
        <w:t xml:space="preserve">Plots of the relationship between original and replication correlation coefficents, removing different sets of possibly null results</w:t>
      </w:r>
    </w:p>
    <w:p>
      <w:pPr>
        <w:pStyle w:val="SourceCode"/>
      </w:pPr>
      <w:r>
        <w:rPr>
          <w:rStyle w:val="NormalTok"/>
        </w:rPr>
        <w:t xml:space="preserve">plotAllData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plotNonequiv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plotSigR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plotBF10Greater3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plotBF01Lesser3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plotBF0plusLesser3 </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plotBFPlus0Greater3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7.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plotBFRep0Lesser3</w:t>
      </w:r>
    </w:p>
    <w:p>
      <w:pPr>
        <w:pStyle w:val="FirstParagraph"/>
      </w:pPr>
      <w:r>
        <w:drawing>
          <wp:inline>
            <wp:extent cx="4620126" cy="3696101"/>
            <wp:effectExtent b="0" l="0" r="0" t="0"/>
            <wp:docPr descr="" title="" id="1" name="Picture"/>
            <a:graphic>
              <a:graphicData uri="http://schemas.openxmlformats.org/drawingml/2006/picture">
                <pic:pic>
                  <pic:nvPicPr>
                    <pic:cNvPr descr="EffectSizeAdjustmentAssessment_files/figure-docx/unnamed-chunk-8-8.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loo-cross-validation-output"/>
      <w:bookmarkEnd w:id="65"/>
      <w:r>
        <w:t xml:space="preserve">LOO Cross validation output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2cfe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45" Target="https://osf.io/z7aux/"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 Type="http://schemas.openxmlformats.org/officeDocument/2006/relationships/hyperlink" Id="rId45" Target="https://osf.io/z7a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2018-11-02T23:05:55Z</dcterms:created>
  <dcterms:modified xsi:type="dcterms:W3CDTF">2018-11-02T23:05:55Z</dcterms:modified>
</cp:coreProperties>
</file>