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247353CA" w:rsidR="00F4553B" w:rsidRPr="003379FD" w:rsidRDefault="006E30A1" w:rsidP="00831745">
      <w:pPr>
        <w:spacing w:line="360" w:lineRule="auto"/>
        <w:jc w:val="center"/>
        <w:rPr>
          <w:rFonts w:cstheme="minorHAnsi"/>
          <w:sz w:val="24"/>
          <w:szCs w:val="24"/>
        </w:rPr>
      </w:pPr>
      <w:r>
        <w:rPr>
          <w:rFonts w:cstheme="minorHAnsi"/>
          <w:sz w:val="24"/>
          <w:szCs w:val="24"/>
        </w:rPr>
        <w:t>Estimating t</w:t>
      </w:r>
      <w:r w:rsidRPr="003379FD">
        <w:rPr>
          <w:rFonts w:cstheme="minorHAnsi"/>
          <w:sz w:val="24"/>
          <w:szCs w:val="24"/>
        </w:rPr>
        <w:t xml:space="preserve">he </w:t>
      </w:r>
      <w:r w:rsidR="00831745" w:rsidRPr="003379FD">
        <w:rPr>
          <w:rFonts w:cstheme="minorHAnsi"/>
          <w:sz w:val="24"/>
          <w:szCs w:val="24"/>
        </w:rPr>
        <w:t>Effect of Publication and Reporting Biases on Effect Sizes in Published Behavioural Sciences Research</w:t>
      </w:r>
      <w:r>
        <w:rPr>
          <w:rFonts w:cstheme="minorHAnsi"/>
          <w:sz w:val="24"/>
          <w:szCs w:val="24"/>
        </w:rPr>
        <w:t xml:space="preserve"> </w:t>
      </w:r>
      <w:r w:rsidR="004855AB">
        <w:rPr>
          <w:rFonts w:cstheme="minorHAnsi"/>
          <w:sz w:val="24"/>
          <w:szCs w:val="24"/>
        </w:rPr>
        <w:t>U</w:t>
      </w:r>
      <w:r>
        <w:rPr>
          <w:rFonts w:cstheme="minorHAnsi"/>
          <w:sz w:val="24"/>
          <w:szCs w:val="24"/>
        </w:rPr>
        <w:t>sing Lage Scale Replication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7576B1E"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to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9F4BF33"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 xml:space="preserve">present a preliminary </w:t>
      </w:r>
      <w:r w:rsidRPr="003379FD">
        <w:rPr>
          <w:rFonts w:cstheme="minorHAnsi"/>
          <w:sz w:val="24"/>
          <w:szCs w:val="24"/>
        </w:rPr>
        <w:t xml:space="preserve">estimate </w:t>
      </w:r>
      <w:r w:rsidR="000024F6">
        <w:rPr>
          <w:rFonts w:cstheme="minorHAnsi"/>
          <w:sz w:val="24"/>
          <w:szCs w:val="24"/>
        </w:rPr>
        <w:t xml:space="preserve">of </w:t>
      </w:r>
      <w:r w:rsidRPr="003379FD">
        <w:rPr>
          <w:rFonts w:cstheme="minorHAnsi"/>
          <w:sz w:val="24"/>
          <w:szCs w:val="24"/>
        </w:rPr>
        <w:t>the effect of publication and reporting biases on</w:t>
      </w:r>
      <w:r w:rsidR="006543CF">
        <w:rPr>
          <w:rFonts w:cstheme="minorHAnsi"/>
          <w:sz w:val="24"/>
          <w:szCs w:val="24"/>
        </w:rPr>
        <w:t xml:space="preserve"> published</w:t>
      </w:r>
      <w:r w:rsidRPr="003379FD">
        <w:rPr>
          <w:rFonts w:cstheme="minorHAnsi"/>
          <w:sz w:val="24"/>
          <w:szCs w:val="24"/>
        </w:rPr>
        <w:t xml:space="preserve"> effect sizes. 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 xml:space="preserve">0.42]),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results we also estimate that effect sizes are on average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3D5809FA" w:rsidR="00166278" w:rsidRPr="003379FD" w:rsidRDefault="00166278" w:rsidP="00166278">
      <w:pPr>
        <w:spacing w:line="360" w:lineRule="auto"/>
        <w:ind w:firstLine="720"/>
        <w:rPr>
          <w:rFonts w:cstheme="minorHAnsi"/>
          <w:sz w:val="24"/>
          <w:szCs w:val="24"/>
        </w:rPr>
      </w:pPr>
      <w:r w:rsidRPr="003379FD">
        <w:rPr>
          <w:rFonts w:cstheme="minorHAnsi"/>
          <w:sz w:val="24"/>
          <w:szCs w:val="24"/>
        </w:rPr>
        <w:t>This paper uses the results of over 300 replication studies conducted as a part of eight large-scale replication projects (henceforth ‘replication projects’) to estimate the effect of publication bias</w:t>
      </w:r>
      <w:r w:rsidR="00036D9F">
        <w:rPr>
          <w:rFonts w:cstheme="minorHAnsi"/>
          <w:sz w:val="24"/>
          <w:szCs w:val="24"/>
        </w:rPr>
        <w:t xml:space="preserve"> and </w:t>
      </w:r>
      <w:r w:rsidR="00F2034D">
        <w:rPr>
          <w:rFonts w:cstheme="minorHAnsi"/>
          <w:sz w:val="24"/>
          <w:szCs w:val="24"/>
        </w:rPr>
        <w:t>questionable research practices (</w:t>
      </w:r>
      <w:r w:rsidR="00036D9F">
        <w:rPr>
          <w:rFonts w:cstheme="minorHAnsi"/>
          <w:sz w:val="24"/>
          <w:szCs w:val="24"/>
        </w:rPr>
        <w:t>QRPs</w:t>
      </w:r>
      <w:r w:rsidR="00F2034D">
        <w:rPr>
          <w:rFonts w:cstheme="minorHAnsi"/>
          <w:sz w:val="24"/>
          <w:szCs w:val="24"/>
        </w:rPr>
        <w:t>)</w:t>
      </w:r>
      <w:r w:rsidRPr="003379FD">
        <w:rPr>
          <w:rFonts w:cstheme="minorHAnsi"/>
          <w:sz w:val="24"/>
          <w:szCs w:val="24"/>
        </w:rPr>
        <w:t xml:space="preserve"> </w:t>
      </w:r>
      <w:r w:rsidR="00036D9F">
        <w:rPr>
          <w:rFonts w:cstheme="minorHAnsi"/>
          <w:sz w:val="24"/>
          <w:szCs w:val="24"/>
        </w:rPr>
        <w:t>o</w:t>
      </w:r>
      <w:r w:rsidR="00036D9F" w:rsidRPr="003379FD">
        <w:rPr>
          <w:rFonts w:cstheme="minorHAnsi"/>
          <w:sz w:val="24"/>
          <w:szCs w:val="24"/>
        </w:rPr>
        <w:t xml:space="preserve">n </w:t>
      </w:r>
      <w:r w:rsidR="00036D9F">
        <w:rPr>
          <w:rFonts w:cstheme="minorHAnsi"/>
          <w:sz w:val="24"/>
          <w:szCs w:val="24"/>
        </w:rPr>
        <w:t xml:space="preserve">effect sizes reported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w:t>
            </w:r>
            <w:proofErr w:type="gramStart"/>
            <w:r w:rsidRPr="003379FD">
              <w:rPr>
                <w:rFonts w:cstheme="minorHAnsi"/>
                <w:sz w:val="20"/>
                <w:szCs w:val="20"/>
              </w:rPr>
              <w:t>Å .</w:t>
            </w:r>
            <w:proofErr w:type="gramEnd"/>
            <w:r w:rsidRPr="003379FD">
              <w:rPr>
                <w:rFonts w:cstheme="minorHAnsi"/>
                <w:sz w:val="20"/>
                <w:szCs w:val="20"/>
              </w:rPr>
              <w:t xml:space="preserve">,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1120353D" w14:textId="6285DFFE" w:rsidR="00A06B4A" w:rsidRPr="003379FD" w:rsidRDefault="004D6813" w:rsidP="004D6813">
      <w:pPr>
        <w:spacing w:line="360" w:lineRule="auto"/>
        <w:ind w:firstLine="720"/>
        <w:rPr>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FF7E76">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fldData xml:space="preserve">PEVuZE5vdGU+PENpdGU+PEF1dGhvcj5TenVjczwvQXV0aG9yPjxZZWFyPjIwMTc8L1llYXI+PFJl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</w:fldData>
        </w:fldChar>
      </w:r>
      <w:r w:rsidR="00FF7E76">
        <w:rPr>
          <w:rFonts w:cstheme="minorHAnsi"/>
          <w:sz w:val="24"/>
          <w:szCs w:val="24"/>
        </w:rPr>
        <w:instrText xml:space="preserve"> ADDIN EN.CITE </w:instrText>
      </w:r>
      <w:r w:rsidR="00FF7E76">
        <w:rPr>
          <w:rFonts w:cstheme="minorHAnsi"/>
          <w:sz w:val="24"/>
          <w:szCs w:val="24"/>
        </w:rPr>
        <w:fldChar w:fldCharType="begin">
          <w:fldData xml:space="preserve">PEVuZE5vdGU+PENpdGU+PEF1dGhvcj5TenVjczwvQXV0aG9yPjxZZWFyPjIwMTc8L1llYXI+PFJl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</w:fldData>
        </w:fldChar>
      </w:r>
      <w:r w:rsidR="00FF7E76">
        <w:rPr>
          <w:rFonts w:cstheme="minorHAnsi"/>
          <w:sz w:val="24"/>
          <w:szCs w:val="24"/>
        </w:rPr>
        <w:instrText xml:space="preserve"> ADDIN EN.CITE.DATA </w:instrText>
      </w:r>
      <w:r w:rsidR="00FF7E76">
        <w:rPr>
          <w:rFonts w:cstheme="minorHAnsi"/>
          <w:sz w:val="24"/>
          <w:szCs w:val="24"/>
        </w:rPr>
      </w:r>
      <w:r w:rsidR="00FF7E76">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pPr>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w:t>
      </w:r>
      <w:r w:rsidR="001806C9">
        <w:rPr>
          <w:rFonts w:cstheme="minorHAnsi"/>
          <w:sz w:val="24"/>
          <w:szCs w:val="24"/>
        </w:rPr>
        <w:lastRenderedPageBreak/>
        <w:t xml:space="preserve">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6ADFB40E" w14:textId="7556633B" w:rsidR="006E30A1" w:rsidRPr="003379FD" w:rsidRDefault="004D6813">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effect of publication </w:t>
      </w:r>
      <w:r w:rsidR="00BC65DF">
        <w:rPr>
          <w:rFonts w:cstheme="minorHAnsi"/>
          <w:sz w:val="24"/>
          <w:szCs w:val="24"/>
        </w:rPr>
        <w:t xml:space="preserve">and reporting bias </w:t>
      </w:r>
      <w:r w:rsidRPr="003379FD">
        <w:rPr>
          <w:rFonts w:cstheme="minorHAnsi"/>
          <w:sz w:val="24"/>
          <w:szCs w:val="24"/>
        </w:rPr>
        <w:t xml:space="preserve">on effect sizes in the psychology literature.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6" w:name="_Hlk10537349"/>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6AAA3165" w14:textId="1DED8D61" w:rsidR="000E74FF" w:rsidRDefault="004D6813" w:rsidP="000E74FF">
      <w:pPr>
        <w:spacing w:line="360" w:lineRule="auto"/>
        <w:ind w:firstLine="720"/>
        <w:rPr>
          <w:rFonts w:cstheme="minorHAnsi"/>
          <w:sz w:val="24"/>
          <w:szCs w:val="24"/>
        </w:rPr>
      </w:pPr>
      <w:r w:rsidRPr="003379FD">
        <w:rPr>
          <w:rFonts w:cstheme="minorHAnsi"/>
          <w:sz w:val="24"/>
          <w:szCs w:val="24"/>
        </w:rPr>
        <w:t xml:space="preserve">In order to estimate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147DAA2C" w14:textId="77777777" w:rsidR="000E74FF" w:rsidRDefault="000E74FF" w:rsidP="000E74FF">
      <w:pPr>
        <w:spacing w:line="360" w:lineRule="auto"/>
        <w:ind w:firstLine="720"/>
        <w:rPr>
          <w:rFonts w:cstheme="minorHAnsi"/>
          <w:sz w:val="24"/>
          <w:szCs w:val="24"/>
        </w:rPr>
      </w:pPr>
    </w:p>
    <w:p w14:paraId="44993445" w14:textId="58D4C17E" w:rsidR="0086334F" w:rsidRPr="00F2034D" w:rsidRDefault="0086334F" w:rsidP="00F2034D">
      <w:pPr>
        <w:spacing w:line="360" w:lineRule="auto"/>
        <w:ind w:firstLine="720"/>
        <w:rPr>
          <w:rFonts w:cstheme="minorHAnsi"/>
          <w:sz w:val="24"/>
          <w:szCs w:val="24"/>
        </w:rPr>
      </w:pPr>
      <w:r w:rsidRPr="00F2034D">
        <w:rPr>
          <w:rFonts w:cstheme="minorHAnsi"/>
          <w:sz w:val="24"/>
          <w:szCs w:val="24"/>
        </w:rPr>
        <w:lastRenderedPageBreak/>
        <w:t>In reading the paper, it is important to note that these replication projects have not replicated a random selection of effects from the literature. As such th</w:t>
      </w:r>
      <w:r w:rsidR="00FB1951">
        <w:rPr>
          <w:rFonts w:cstheme="minorHAnsi"/>
          <w:sz w:val="24"/>
          <w:szCs w:val="24"/>
        </w:rPr>
        <w:t>e</w:t>
      </w:r>
      <w:r w:rsidRPr="00F2034D">
        <w:rPr>
          <w:rFonts w:cstheme="minorHAnsi"/>
          <w:sz w:val="24"/>
          <w:szCs w:val="24"/>
        </w:rPr>
        <w:t xml:space="preserve"> analys</w:t>
      </w:r>
      <w:r w:rsidR="00FB1951">
        <w:rPr>
          <w:rFonts w:cstheme="minorHAnsi"/>
          <w:sz w:val="24"/>
          <w:szCs w:val="24"/>
        </w:rPr>
        <w:t>e</w:t>
      </w:r>
      <w:r w:rsidRPr="00F2034D">
        <w:rPr>
          <w:rFonts w:cstheme="minorHAnsi"/>
          <w:sz w:val="24"/>
          <w:szCs w:val="24"/>
        </w:rPr>
        <w:t xml:space="preserve">s </w:t>
      </w:r>
      <w:r w:rsidR="00FB1951">
        <w:rPr>
          <w:rFonts w:cstheme="minorHAnsi"/>
          <w:sz w:val="24"/>
          <w:szCs w:val="24"/>
        </w:rPr>
        <w:t>her</w:t>
      </w:r>
      <w:r w:rsidR="00C41813">
        <w:rPr>
          <w:rFonts w:cstheme="minorHAnsi"/>
          <w:sz w:val="24"/>
          <w:szCs w:val="24"/>
        </w:rPr>
        <w:t>e</w:t>
      </w:r>
      <w:r w:rsidR="00FB1951">
        <w:rPr>
          <w:rFonts w:cstheme="minorHAnsi"/>
          <w:sz w:val="24"/>
          <w:szCs w:val="24"/>
        </w:rPr>
        <w:t xml:space="preserve"> </w:t>
      </w:r>
      <w:r w:rsidRPr="00F2034D">
        <w:rPr>
          <w:rFonts w:cstheme="minorHAnsi"/>
          <w:sz w:val="24"/>
          <w:szCs w:val="24"/>
        </w:rPr>
        <w:t xml:space="preserve">do not allow us to make simple inferences about what would be seen in a future replication study (i.e., predicting the effect size decrease between a randomly selected psychology research article and its replication). Instead, this analysis should be read as producing estimates of the differences we would expect to see in future large-scale replication projects, under the </w:t>
      </w:r>
      <w:r w:rsidR="004479E5" w:rsidRPr="000821FB">
        <w:rPr>
          <w:rFonts w:cstheme="minorHAnsi"/>
          <w:sz w:val="24"/>
          <w:szCs w:val="24"/>
        </w:rPr>
        <w:t>assumption</w:t>
      </w:r>
      <w:r w:rsidRPr="00F2034D">
        <w:rPr>
          <w:rFonts w:cstheme="minorHAnsi"/>
          <w:sz w:val="24"/>
          <w:szCs w:val="24"/>
        </w:rPr>
        <w:t xml:space="preserve"> that the included replication projects are a random sample of hypothetical replication projects. </w:t>
      </w:r>
    </w:p>
    <w:p w14:paraId="62902ED2" w14:textId="77777777" w:rsidR="000810F8" w:rsidRPr="000821FB" w:rsidRDefault="000810F8" w:rsidP="000810F8">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73F2904F"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 xml:space="preserve">abs 1 and 3 </w:t>
      </w:r>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 </w:instrText>
      </w:r>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(Ebersole et al., 2016; Klein et al., 2014)</w:t>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75740F20" w:rsidR="006B29B4" w:rsidRPr="00F2034D" w:rsidRDefault="006B29B4" w:rsidP="00F2034D">
      <w:pPr>
        <w:pStyle w:val="BodyText"/>
        <w:rPr>
          <w:lang w:val="en-US"/>
        </w:rPr>
      </w:pPr>
      <w:r w:rsidRPr="006B29B4">
        <w:rPr>
          <w:lang w:val="en-US"/>
        </w:rPr>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FB1951" w:rsidRPr="006B29B4">
        <w:rPr>
          <w:lang w:val="en-US"/>
        </w:rPr>
        <w:t>)</w:t>
      </w:r>
      <w:r w:rsidR="00FB1951">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lastRenderedPageBreak/>
        <w:t>M</w:t>
      </w:r>
      <w:r w:rsidRPr="006B29B4">
        <w:rPr>
          <w:lang w:val="en-US"/>
        </w:rPr>
        <w:t>aterials 1 for a comprehensive account of exclusions and study specific extraction details for each replication project. See Table 1 for the number of valid studies extracted from each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6AFA42F2"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All analyses were exploratory, </w:t>
      </w:r>
      <w:r w:rsidR="00C35ECC" w:rsidRPr="00C35ECC">
        <w:rPr>
          <w:lang w:val="en-US"/>
        </w:rPr>
        <w:t>and additional models which were developed and considered are not presented here.</w:t>
      </w:r>
      <w:r w:rsidR="00C35ECC">
        <w:rPr>
          <w:lang w:val="en-US"/>
        </w:rPr>
        <w:t xml:space="preserve"> </w:t>
      </w:r>
      <w:r w:rsidRPr="00084D43">
        <w:rPr>
          <w:lang w:val="en-US"/>
        </w:rPr>
        <w:t xml:space="preserve">See </w:t>
      </w:r>
      <w:hyperlink r:id="rId15" w:history="1">
        <w:r w:rsidRPr="00084D43">
          <w:rPr>
            <w:color w:val="4F81BD"/>
            <w:u w:val="single"/>
            <w:lang w:val="en-US"/>
          </w:rPr>
          <w:t>https://github.com/fsingletonthorn/effectSizeAdjustment</w:t>
        </w:r>
      </w:hyperlink>
      <w:r w:rsidRPr="00084D43">
        <w:rPr>
          <w:lang w:val="en-US"/>
        </w:rPr>
        <w:t xml:space="preserve"> for a git repository with a record of all interim models and for all model code and data, and see </w:t>
      </w:r>
      <w:hyperlink r:id="rId16" w:history="1">
        <w:r w:rsidRPr="00084D43">
          <w:rPr>
            <w:color w:val="4F81BD"/>
            <w:u w:val="single"/>
            <w:lang w:val="en-US"/>
          </w:rPr>
          <w:t>https://osf.io/daj8b</w:t>
        </w:r>
      </w:hyperlink>
      <w:r w:rsidRPr="00084D43">
        <w:rPr>
          <w:lang w:val="en-US"/>
        </w:rPr>
        <w:t xml:space="preserve"> for the preregistration of this project, however all reported analyses should be considered exploratory. All of the data and analysis code used in this study</w:t>
      </w:r>
      <w:r w:rsidR="00FB1951">
        <w:rPr>
          <w:lang w:val="en-US"/>
        </w:rPr>
        <w:t>,</w:t>
      </w:r>
      <w:r w:rsidRPr="00084D43">
        <w:rPr>
          <w:lang w:val="en-US"/>
        </w:rPr>
        <w:t xml:space="preserve"> and an RMarkdown document to allow the current </w:t>
      </w:r>
      <w:r w:rsidR="00140812">
        <w:rPr>
          <w:lang w:val="en-US"/>
        </w:rPr>
        <w:t>paper</w:t>
      </w:r>
      <w:r w:rsidR="00140812" w:rsidRPr="00084D43">
        <w:rPr>
          <w:lang w:val="en-US"/>
        </w:rPr>
        <w:t xml:space="preserve"> </w:t>
      </w:r>
      <w:r w:rsidRPr="00084D43">
        <w:rPr>
          <w:lang w:val="en-US"/>
        </w:rPr>
        <w:t>to be easily reproduced</w:t>
      </w:r>
      <w:r w:rsidR="00FB1951">
        <w:rPr>
          <w:lang w:val="en-US"/>
        </w:rPr>
        <w:t>,</w:t>
      </w:r>
      <w:r w:rsidRPr="00084D43">
        <w:rPr>
          <w:lang w:val="en-US"/>
        </w:rPr>
        <w:t xml:space="preserve"> are available from </w:t>
      </w:r>
      <w:hyperlink r:id="rId17" w:history="1">
        <w:r w:rsidRPr="00084D43">
          <w:rPr>
            <w:color w:val="4F81BD"/>
            <w:u w:val="single"/>
            <w:lang w:val="en-US"/>
          </w:rPr>
          <w:t>https://osf.io/7qvna/</w:t>
        </w:r>
      </w:hyperlink>
      <w:r w:rsidRPr="00084D43">
        <w:rPr>
          <w:lang w:val="en-US"/>
        </w:rPr>
        <w:t>.</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0A93B878"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EBB5549"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a low level of statistical power to detect the 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w:t>
      </w:r>
      <w:proofErr w:type="gramStart"/>
      <w:r w:rsidR="00FF7E76" w:rsidRPr="00FF7E76">
        <w:rPr>
          <w:lang w:val="en-US"/>
        </w:rPr>
        <w:t>cases</w:t>
      </w:r>
      <w:proofErr w:type="gramEnd"/>
      <w:r w:rsidR="00FF7E76" w:rsidRPr="00FF7E76">
        <w:rPr>
          <w:lang w:val="en-US"/>
        </w:rPr>
        <w:t xml:space="preserve">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7525AF58"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0810F8">
      <w:pPr>
        <w:pStyle w:val="BodyText"/>
        <w:rPr>
          <w:rFonts w:cstheme="minorHAnsi"/>
          <w:color w:val="767171" w:themeColor="background2" w:themeShade="80"/>
        </w:rPr>
      </w:pPr>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625079D"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 following </w:t>
      </w:r>
      <w:r w:rsidR="000821FB">
        <w:rPr>
          <w:lang w:val="en-US"/>
        </w:rPr>
        <w:fldChar w:fldCharType="begin"/>
      </w:r>
      <w:r w:rsidR="000821FB">
        <w:rPr>
          <w:lang w:val="en-US"/>
        </w:rPr>
        <w:instrText xml:space="preserve"> ADDIN EN.CITE &lt;EndNote&gt;&lt;Cite&gt;&lt;Author&gt;Nakagawa&lt;/Author&gt;&lt;Year&gt;2012&lt;/Year&gt;&lt;RecNum&gt;1023&lt;/RecNum&gt;&lt;DisplayText&gt;(Nakagawa &amp;amp; Santos, 2012)&lt;/DisplayText&gt;&lt;record&gt;&lt;rec-number&gt;1023&lt;/rec-number&gt;&lt;foreign-keys&gt;&lt;key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separate"/>
      </w:r>
      <w:r w:rsidR="000821FB">
        <w:rPr>
          <w:noProof/>
          <w:lang w:val="en-US"/>
        </w:rPr>
        <w:t>(Nakagawa &amp; Santos, 2012)</w: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4" w:name="analysis-2---3-results-from-multilevel-r"/>
      <w:bookmarkEnd w:id="14"/>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5" w:name="table-all-model-output"/>
      <w:bookmarkEnd w:id="15"/>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298C634F" w:rsidR="00DC71E9" w:rsidRPr="00CF7820" w:rsidRDefault="00CF7820" w:rsidP="00CF7820">
      <w:pPr>
        <w:pStyle w:val="BodyText"/>
        <w:ind w:firstLine="0"/>
        <w:rPr>
          <w:iCs/>
          <w:sz w:val="22"/>
          <w:szCs w:val="20"/>
        </w:rPr>
      </w:pPr>
      <w:bookmarkStart w:id="16" w:name="leave-one-out-cross-validation-of-meta-a"/>
      <w:bookmarkEnd w:id="16"/>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7" w:name="analysis-4-bayesian-mixture-model-result"/>
      <w:bookmarkEnd w:id="17"/>
      <w:r w:rsidRPr="00567A13">
        <w:rPr>
          <w:sz w:val="24"/>
          <w:szCs w:val="24"/>
        </w:rPr>
        <w:t>Analysis 4: Bayesian mixture model results</w:t>
      </w:r>
      <w:r w:rsidR="00E6538F" w:rsidRPr="00567A13">
        <w:rPr>
          <w:sz w:val="24"/>
          <w:szCs w:val="24"/>
        </w:rPr>
        <w:t>.</w:t>
      </w:r>
    </w:p>
    <w:p w14:paraId="467A285C" w14:textId="09CB36C0"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Trace and density plots for the discussed parameters were assessed and the model appeared to have converged.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w:t>
      </w:r>
      <w:r w:rsidRPr="00AD3CC6">
        <w:rPr>
          <w:lang w:val="en-US"/>
        </w:rPr>
        <w:lastRenderedPageBreak/>
        <w:t xml:space="preserve">probability density interval of [79%, 98%]. The overall attenuation factor (i.e., the estimated amount that effect sizes decreases between the original and replication studies) </w:t>
      </w:r>
      <w:r w:rsidR="008E23F6">
        <w:rPr>
          <w:lang w:val="en-US"/>
        </w:rPr>
        <w:t>wa</w:t>
      </w:r>
      <w:r w:rsidRPr="00AD3CC6">
        <w:rPr>
          <w:lang w:val="en-US"/>
        </w:rPr>
        <w:t>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2F86FAE" w:rsidR="000810F8" w:rsidRPr="00B55BA4" w:rsidRDefault="000810F8" w:rsidP="00664366">
      <w:pPr>
        <w:pStyle w:val="BodyText"/>
        <w:ind w:firstLine="0"/>
        <w:rPr>
          <w:rFonts w:cstheme="minorHAnsi"/>
        </w:rPr>
      </w:pPr>
      <w:bookmarkStart w:id="18" w:name="figure-mixture-model."/>
      <w:bookmarkEnd w:id="18"/>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9" w:name="discussion"/>
      <w:bookmarkEnd w:id="19"/>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w:t>
      </w:r>
      <w:r w:rsidRPr="00567A13">
        <w:t>studies and</w:t>
      </w:r>
      <w:r w:rsidRPr="00567A13">
        <w:t xml:space="preserve">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w:t>
      </w:r>
      <w:r w:rsidRPr="00457925">
        <w:t>i</w:t>
      </w:r>
      <w:r w:rsidRPr="00457925">
        <w:t xml:space="preserve">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0" w:name="limitations-and-future-directions"/>
      <w:bookmarkEnd w:id="20"/>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68161AF1"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 xml:space="preserve">a uniform attenuation factor across all areas of psychological </w:t>
      </w:r>
      <w:proofErr w:type="gramStart"/>
      <w:r w:rsidRPr="00F2034D">
        <w:rPr>
          <w:rFonts w:cstheme="minorHAnsi"/>
        </w:rPr>
        <w:t>research</w:t>
      </w:r>
      <w:r w:rsidR="00706979">
        <w:rPr>
          <w:rFonts w:cstheme="minorHAnsi"/>
        </w:rPr>
        <w:t>, and</w:t>
      </w:r>
      <w:proofErr w:type="gramEnd"/>
      <w:r w:rsidR="00706979">
        <w:rPr>
          <w:rFonts w:cstheme="minorHAnsi"/>
        </w:rPr>
        <w:t xml:space="preserve">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198CF5F3" w14:textId="01862556" w:rsidR="00B91CAE" w:rsidRDefault="0000419C" w:rsidP="00777BA8">
      <w:pPr>
        <w:pStyle w:val="BodyText"/>
        <w:rPr>
          <w:rFonts w:cstheme="minorHAnsi"/>
        </w:rPr>
      </w:pPr>
      <w:r w:rsidRPr="00F2034D">
        <w:rPr>
          <w:rFonts w:cstheme="minorHAnsi"/>
        </w:rPr>
        <w:t xml:space="preserve">Most importantly, none of the replication projects included in this </w:t>
      </w:r>
      <w:r w:rsidR="00370694">
        <w:rPr>
          <w:rFonts w:cstheme="minorHAnsi"/>
        </w:rPr>
        <w:t>research</w:t>
      </w:r>
      <w:r w:rsidR="00370694" w:rsidRPr="00F2034D">
        <w:rPr>
          <w:rFonts w:cstheme="minorHAnsi"/>
        </w:rPr>
        <w:t xml:space="preserve"> </w:t>
      </w:r>
      <w:r w:rsidR="00706979">
        <w:rPr>
          <w:rFonts w:cstheme="minorHAnsi"/>
        </w:rPr>
        <w:t xml:space="preserve">exclusively </w:t>
      </w:r>
      <w:r w:rsidRPr="00F2034D">
        <w:rPr>
          <w:rFonts w:cstheme="minorHAnsi"/>
        </w:rPr>
        <w:t>replicated true random</w:t>
      </w:r>
      <w:r w:rsidR="00457AB6">
        <w:rPr>
          <w:rFonts w:cstheme="minorHAnsi"/>
        </w:rPr>
        <w:t>ly</w:t>
      </w:r>
      <w:r w:rsidRPr="00F2034D">
        <w:rPr>
          <w:rFonts w:cstheme="minorHAnsi"/>
        </w:rPr>
        <w:t xml:space="preserve"> select</w:t>
      </w:r>
      <w:r w:rsidR="00457AB6">
        <w:rPr>
          <w:rFonts w:cstheme="minorHAnsi"/>
        </w:rPr>
        <w:t>ed studies</w:t>
      </w:r>
      <w:r w:rsidRPr="00F2034D">
        <w:rPr>
          <w:rFonts w:cstheme="minorHAnsi"/>
        </w:rPr>
        <w:t xml:space="preserve"> from the literature</w:t>
      </w:r>
      <w:r w:rsidR="00457AB6">
        <w:rPr>
          <w:rFonts w:cstheme="minorHAnsi"/>
        </w:rPr>
        <w:t>.</w:t>
      </w:r>
      <w:r w:rsidR="00706979">
        <w:rPr>
          <w:rFonts w:cstheme="minorHAnsi"/>
        </w:rPr>
        <w:t xml:space="preserve"> </w:t>
      </w:r>
      <w:r w:rsidR="00457AB6">
        <w:rPr>
          <w:rFonts w:cstheme="minorHAnsi"/>
        </w:rPr>
        <w:t>T</w:t>
      </w:r>
      <w:r w:rsidRPr="00F2034D">
        <w:rPr>
          <w:rFonts w:cstheme="minorHAnsi"/>
        </w:rPr>
        <w: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w:t>
      </w:r>
      <w:r w:rsidR="00457AB6">
        <w:rPr>
          <w:rFonts w:cstheme="minorHAnsi"/>
        </w:rPr>
        <w:t xml:space="preserve"> more broadly</w:t>
      </w:r>
      <w:r w:rsidRPr="00F2034D">
        <w:rPr>
          <w:rFonts w:cstheme="minorHAnsi"/>
        </w:rPr>
        <w:t xml:space="preserve">. As stated in the introduction, this analysis therefore should be seen as producing an estimate of the effect size differences we would expect to see in future large-scale replication projects, under the assumption </w:t>
      </w:r>
      <w:r w:rsidR="00457AB6">
        <w:rPr>
          <w:rFonts w:cstheme="minorHAnsi"/>
        </w:rPr>
        <w:t xml:space="preserve">that </w:t>
      </w:r>
      <w:r w:rsidRPr="00F2034D">
        <w:rPr>
          <w:rFonts w:cstheme="minorHAnsi"/>
        </w:rPr>
        <w:t xml:space="preserve">the effects of the different sampling decisions used by these studies lead to normally distributed effects around some global mean level of effect size attenuation. </w:t>
      </w:r>
      <w:r w:rsidR="00777BA8" w:rsidRPr="00F2034D">
        <w:rPr>
          <w:rFonts w:cstheme="minorHAnsi"/>
        </w:rPr>
        <w:t xml:space="preserve">While </w:t>
      </w:r>
      <w:r w:rsidR="00777BA8">
        <w:rPr>
          <w:rFonts w:cstheme="minorHAnsi"/>
        </w:rPr>
        <w:t>the findings presented here</w:t>
      </w:r>
      <w:r w:rsidR="00777BA8" w:rsidRPr="00F2034D">
        <w:rPr>
          <w:rFonts w:cstheme="minorHAnsi"/>
        </w:rPr>
        <w:t xml:space="preserve"> should be considered preliminary, this analys</w:t>
      </w:r>
      <w:r w:rsidR="00777BA8">
        <w:rPr>
          <w:rFonts w:cstheme="minorHAnsi"/>
        </w:rPr>
        <w:t>e</w:t>
      </w:r>
      <w:r w:rsidR="00777BA8" w:rsidRPr="00F2034D">
        <w:rPr>
          <w:rFonts w:cstheme="minorHAnsi"/>
        </w:rPr>
        <w:t xml:space="preserve">s nonetheless provide an initial estimate of the mean effect size attenuation that </w:t>
      </w:r>
      <w:r w:rsidR="00777BA8">
        <w:rPr>
          <w:rFonts w:cstheme="minorHAnsi"/>
        </w:rPr>
        <w:t>c</w:t>
      </w:r>
      <w:r w:rsidR="00777BA8" w:rsidRPr="00F2034D">
        <w:rPr>
          <w:rFonts w:cstheme="minorHAnsi"/>
        </w:rPr>
        <w:t xml:space="preserve">ould be </w:t>
      </w:r>
      <w:r w:rsidR="00777BA8">
        <w:rPr>
          <w:rFonts w:cstheme="minorHAnsi"/>
        </w:rPr>
        <w:t xml:space="preserve">reasonably </w:t>
      </w:r>
      <w:r w:rsidR="00777BA8" w:rsidRPr="00F2034D">
        <w:rPr>
          <w:rFonts w:cstheme="minorHAnsi"/>
        </w:rPr>
        <w:t>expected in replication studies</w:t>
      </w:r>
      <w:r w:rsidR="00777BA8">
        <w:rPr>
          <w:rFonts w:cstheme="minorHAnsi"/>
        </w:rPr>
        <w:t xml:space="preserve"> and</w:t>
      </w:r>
      <w:r w:rsidR="00777BA8" w:rsidRPr="00F2034D">
        <w:rPr>
          <w:rFonts w:cstheme="minorHAnsi"/>
        </w:rPr>
        <w:t xml:space="preserve"> suggest that</w:t>
      </w:r>
      <w:r w:rsidR="00777BA8">
        <w:rPr>
          <w:rFonts w:cstheme="minorHAnsi"/>
        </w:rPr>
        <w:t>,</w:t>
      </w:r>
      <w:r w:rsidR="00777BA8" w:rsidRPr="00F2034D">
        <w:rPr>
          <w:rFonts w:cstheme="minorHAnsi"/>
        </w:rPr>
        <w:t xml:space="preserve"> even after accounting for the presence of </w:t>
      </w:r>
      <w:r w:rsidR="00777BA8" w:rsidRPr="00F2034D">
        <w:rPr>
          <w:rFonts w:cstheme="minorHAnsi"/>
        </w:rPr>
        <w:lastRenderedPageBreak/>
        <w:t>null effects</w:t>
      </w:r>
      <w:r w:rsidR="00777BA8">
        <w:rPr>
          <w:rFonts w:cstheme="minorHAnsi"/>
        </w:rPr>
        <w:t>,</w:t>
      </w:r>
      <w:r w:rsidR="00777BA8" w:rsidRPr="00F2034D">
        <w:rPr>
          <w:rFonts w:cstheme="minorHAnsi"/>
        </w:rPr>
        <w:t xml:space="preserve"> the amount of effect size attenuation between the published literature and replication studies is still noteworthy.</w:t>
      </w:r>
      <w:bookmarkStart w:id="21" w:name="_GoBack"/>
      <w:bookmarkEnd w:id="21"/>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3BD01755"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AC32B8">
        <w:rPr>
          <w:rFonts w:cstheme="minorHAnsi"/>
        </w:rPr>
        <w:t>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figshare (figshare.com) and the Open Science Framework (osf.io) make it possible for researchers to easily share the results of research whether or not a study is published in a traditional journal. Similarly, pre-prints (e.g., </w:t>
      </w:r>
      <w:r w:rsidR="0000419C" w:rsidRPr="00F2034D">
        <w:rPr>
          <w:rFonts w:eastAsiaTheme="majorEastAsia" w:cstheme="minorHAnsi"/>
          <w:szCs w:val="24"/>
        </w:rPr>
        <w:lastRenderedPageBreak/>
        <w:t xml:space="preserve">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77777777" w:rsidR="00090A5F" w:rsidRPr="008F2257" w:rsidRDefault="00090A5F">
      <w:pPr>
        <w:rPr>
          <w:rFonts w:eastAsiaTheme="majorEastAsia" w:cstheme="minorHAnsi"/>
        </w:rPr>
      </w:pPr>
      <w:r w:rsidRPr="008F2257">
        <w:rPr>
          <w:rFonts w:cstheme="minorHAnsi"/>
        </w:rPr>
        <w:br w:type="page"/>
      </w:r>
    </w:p>
    <w:p w14:paraId="664A6D7D" w14:textId="29F525A3"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515DC832" w14:textId="77777777" w:rsidR="00DF1FE1" w:rsidRPr="00DF1FE1" w:rsidRDefault="003F70B4" w:rsidP="00DF1FE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DF1FE1" w:rsidRPr="00DF1FE1">
        <w:t xml:space="preserve">Agnoli, F., Wicherts, J. M., Veldkamp, C. L. S., Albiero, P., &amp; Cubelli, R. (2017). Questionable research practices among italian research psychologists. </w:t>
      </w:r>
      <w:r w:rsidR="00DF1FE1" w:rsidRPr="00DF1FE1">
        <w:rPr>
          <w:i/>
        </w:rPr>
        <w:t>PLOS ONE, 12</w:t>
      </w:r>
      <w:r w:rsidR="00DF1FE1" w:rsidRPr="00DF1FE1">
        <w:t>(3), e0172792. doi:10.1371/journal.pone.0172792</w:t>
      </w:r>
    </w:p>
    <w:p w14:paraId="0E2EC27E" w14:textId="77777777" w:rsidR="00DF1FE1" w:rsidRPr="00DF1FE1" w:rsidRDefault="00DF1FE1" w:rsidP="00DF1FE1">
      <w:pPr>
        <w:pStyle w:val="EndNoteBibliography"/>
        <w:spacing w:after="0"/>
        <w:ind w:left="720" w:hanging="720"/>
      </w:pPr>
      <w:r w:rsidRPr="00DF1FE1">
        <w:t xml:space="preserve">Bakker, M., van Dijk, A., &amp; Wicherts, J. M. (2012). The Rules of the Game Called Psychological Science. </w:t>
      </w:r>
      <w:r w:rsidRPr="00DF1FE1">
        <w:rPr>
          <w:i/>
        </w:rPr>
        <w:t>Perspectives on Psychological Science, 7</w:t>
      </w:r>
      <w:r w:rsidRPr="00DF1FE1">
        <w:t>(6), 543-554. doi:10.1177/1745691612459060</w:t>
      </w:r>
    </w:p>
    <w:p w14:paraId="4B4F003B" w14:textId="77777777" w:rsidR="00DF1FE1" w:rsidRPr="00DF1FE1" w:rsidRDefault="00DF1FE1" w:rsidP="00DF1FE1">
      <w:pPr>
        <w:pStyle w:val="EndNoteBibliography"/>
        <w:spacing w:after="0"/>
        <w:ind w:left="720" w:hanging="720"/>
      </w:pPr>
      <w:r w:rsidRPr="00DF1FE1">
        <w:t xml:space="preserve">Button, K. S., Ioannidis, J. P. A., Mokrysz, C., Nosek, B. A., Flint, J., Robinson, E. S. J., &amp; Munafo, M. R. (2013). Power failure: why small sample size undermines the reliability of neuroscience. </w:t>
      </w:r>
      <w:r w:rsidRPr="00DF1FE1">
        <w:rPr>
          <w:i/>
        </w:rPr>
        <w:t>Nature Reviews Neuroscience, 14</w:t>
      </w:r>
      <w:r w:rsidRPr="00DF1FE1">
        <w:t>(5), 365-376. doi:10.1038/nrn3475</w:t>
      </w:r>
    </w:p>
    <w:p w14:paraId="32BA1841" w14:textId="77777777" w:rsidR="00DF1FE1" w:rsidRPr="00DF1FE1" w:rsidRDefault="00DF1FE1" w:rsidP="00DF1FE1">
      <w:pPr>
        <w:pStyle w:val="EndNoteBibliography"/>
        <w:spacing w:after="0"/>
        <w:ind w:left="720" w:hanging="720"/>
      </w:pPr>
      <w:r w:rsidRPr="00DF1FE1">
        <w:t xml:space="preserve">Camerer, C. F., Dreber, A., Holzmeister, F., Ho, T.-H., Huber, J., Johannesson, M., . . . Wu, H. (2018). Evaluating the replicability of social science experiments in Nature and Science between 2010 and 2015. </w:t>
      </w:r>
      <w:r w:rsidRPr="00DF1FE1">
        <w:rPr>
          <w:i/>
        </w:rPr>
        <w:t>Nature Human Behaviour, 2</w:t>
      </w:r>
      <w:r w:rsidRPr="00DF1FE1">
        <w:t>(9), 637-644. doi:10.1038/s41562-018-0399-z</w:t>
      </w:r>
    </w:p>
    <w:p w14:paraId="4C98A100" w14:textId="1F763C1B" w:rsidR="00DF1FE1" w:rsidRPr="00DF1FE1" w:rsidRDefault="00DF1FE1" w:rsidP="00DF1FE1">
      <w:pPr>
        <w:pStyle w:val="EndNoteBibliography"/>
        <w:ind w:left="720" w:hanging="720"/>
      </w:pPr>
      <w:r w:rsidRPr="00DF1FE1">
        <w:t xml:space="preserve">Cohen, J. (1962). The statistical power of abnormal-social psychological research: A review. </w:t>
      </w:r>
      <w:r w:rsidRPr="00DF1FE1">
        <w:rPr>
          <w:i/>
        </w:rPr>
        <w:t>The Journal of Abnormal and Social Psychology, 65</w:t>
      </w:r>
      <w:r w:rsidRPr="00DF1FE1">
        <w:t xml:space="preserve">(3), 145-153.  Retrieved from </w:t>
      </w:r>
      <w:hyperlink r:id="rId21" w:history="1">
        <w:r w:rsidRPr="00DF1FE1">
          <w:rPr>
            <w:rStyle w:val="Hyperlink"/>
          </w:rPr>
          <w:t>https://ezp.lib.unimelb.edu.au/login?url=http://ovidsp.ovid.com/ovidweb.cgi?T=JS&amp;CSC=Y&amp;NEWS=N&amp;PAGE=fulltext&amp;D=psyc1&amp;AN=1964-09448-001</w:t>
        </w:r>
      </w:hyperlink>
    </w:p>
    <w:p w14:paraId="11D0D4D3" w14:textId="55691BA3" w:rsidR="00DF1FE1" w:rsidRPr="00DF1FE1" w:rsidRDefault="00DF1FE1" w:rsidP="00DF1FE1">
      <w:pPr>
        <w:pStyle w:val="EndNoteBibliography"/>
        <w:spacing w:after="0"/>
        <w:ind w:left="720" w:hanging="720"/>
      </w:pPr>
      <w:hyperlink r:id="rId22" w:history="1">
        <w:r w:rsidRPr="00DF1FE1">
          <w:rPr>
            <w:rStyle w:val="Hyperlink"/>
          </w:rPr>
          <w: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w:t>
        </w:r>
      </w:hyperlink>
    </w:p>
    <w:p w14:paraId="33610AE0" w14:textId="77777777" w:rsidR="00DF1FE1" w:rsidRPr="00DF1FE1" w:rsidRDefault="00DF1FE1" w:rsidP="00DF1FE1">
      <w:pPr>
        <w:pStyle w:val="EndNoteBibliography"/>
        <w:spacing w:after="0"/>
        <w:ind w:left="720" w:hanging="720"/>
      </w:pPr>
      <w:r w:rsidRPr="00DF1FE1">
        <w:t xml:space="preserve">Depaoli, S., Clifton, J. P., &amp; Cobb, P. R. (2016). Just Another Gibbs Sampler (JAGS): Flexible Software for MCMC Implementation. </w:t>
      </w:r>
      <w:r w:rsidRPr="00DF1FE1">
        <w:rPr>
          <w:i/>
        </w:rPr>
        <w:t>Journal of Educational and Behavioral Statistics, 41</w:t>
      </w:r>
      <w:r w:rsidRPr="00DF1FE1">
        <w:t>(6), 628-649. doi:10.3102/1076998616664876</w:t>
      </w:r>
    </w:p>
    <w:p w14:paraId="73039864" w14:textId="77777777" w:rsidR="00DF1FE1" w:rsidRPr="00DF1FE1" w:rsidRDefault="00DF1FE1" w:rsidP="00DF1FE1">
      <w:pPr>
        <w:pStyle w:val="EndNoteBibliography"/>
        <w:spacing w:after="0"/>
        <w:ind w:left="720" w:hanging="720"/>
      </w:pPr>
      <w:r w:rsidRPr="00DF1FE1">
        <w:t xml:space="preserve">Dwan, K., Gamble, C., Williamson, P. R., &amp; Kirkham, J. J. (2013). Systematic Review of the Empirical Evidence of Study Publication Bias and Outcome Reporting Bias — An Updated Review. </w:t>
      </w:r>
      <w:r w:rsidRPr="00DF1FE1">
        <w:rPr>
          <w:i/>
        </w:rPr>
        <w:t>PLOS ONE, 8</w:t>
      </w:r>
      <w:r w:rsidRPr="00DF1FE1">
        <w:t>(7), e66844. doi:10.1371/journal.pone.0066844</w:t>
      </w:r>
    </w:p>
    <w:p w14:paraId="68C6B824" w14:textId="757AA0AA" w:rsidR="00DF1FE1" w:rsidRPr="00DF1FE1" w:rsidRDefault="00DF1FE1" w:rsidP="00DF1FE1">
      <w:pPr>
        <w:pStyle w:val="EndNoteBibliography"/>
        <w:spacing w:after="0"/>
        <w:ind w:left="720" w:hanging="720"/>
      </w:pPr>
      <w:r w:rsidRPr="00DF1FE1">
        <w:t xml:space="preserve">Ebersole, C. R., Atherton, O. E., Belanger, A. L., Skulborstad, H. M., Allen, J. M., Banks, J. B., . . . Nosek, B. A. (2016). Many Labs 3: Evaluating participant pool quality across the academic semester via replication. </w:t>
      </w:r>
      <w:r w:rsidRPr="00DF1FE1">
        <w:rPr>
          <w:i/>
        </w:rPr>
        <w:t>Journal of Experimental Social Psychology, 67</w:t>
      </w:r>
      <w:r w:rsidRPr="00DF1FE1">
        <w:t>, 68-82. doi:</w:t>
      </w:r>
      <w:hyperlink r:id="rId23" w:history="1">
        <w:r w:rsidRPr="00DF1FE1">
          <w:rPr>
            <w:rStyle w:val="Hyperlink"/>
          </w:rPr>
          <w:t>https://doi.org/10.1016/j.jesp.2015.10.012</w:t>
        </w:r>
      </w:hyperlink>
    </w:p>
    <w:p w14:paraId="0D78EE74" w14:textId="3114DEE3" w:rsidR="00DF1FE1" w:rsidRPr="00DF1FE1" w:rsidRDefault="00DF1FE1" w:rsidP="00DF1FE1">
      <w:pPr>
        <w:pStyle w:val="EndNoteBibliography"/>
        <w:spacing w:after="0"/>
        <w:ind w:left="720" w:hanging="720"/>
      </w:pPr>
      <w:r w:rsidRPr="00DF1FE1">
        <w:t xml:space="preserve">Egger, M., Smith, G. D., Schneider, M., &amp; Minder, C. (1997). Bias in meta-analysis detected by a simple, graphical test. </w:t>
      </w:r>
      <w:r w:rsidRPr="00DF1FE1">
        <w:rPr>
          <w:i/>
        </w:rPr>
        <w:t>BMJ, 315</w:t>
      </w:r>
      <w:r w:rsidRPr="00DF1FE1">
        <w:t xml:space="preserve">(7109), 629.  Retrieved from </w:t>
      </w:r>
      <w:hyperlink r:id="rId24" w:history="1">
        <w:r w:rsidRPr="00DF1FE1">
          <w:rPr>
            <w:rStyle w:val="Hyperlink"/>
          </w:rPr>
          <w:t>http://www.bmj.com/content/315/7109/629.abstract</w:t>
        </w:r>
      </w:hyperlink>
    </w:p>
    <w:p w14:paraId="39782945" w14:textId="77777777" w:rsidR="00DF1FE1" w:rsidRPr="00DF1FE1" w:rsidRDefault="00DF1FE1" w:rsidP="00DF1FE1">
      <w:pPr>
        <w:pStyle w:val="EndNoteBibliography"/>
        <w:spacing w:after="0"/>
        <w:ind w:left="720" w:hanging="720"/>
      </w:pPr>
      <w:r w:rsidRPr="00DF1FE1">
        <w:t xml:space="preserve">Fanelli, D. (2012). Negative results are disappearing from most disciplines and countries. </w:t>
      </w:r>
      <w:r w:rsidRPr="00DF1FE1">
        <w:rPr>
          <w:i/>
        </w:rPr>
        <w:t>Scientometrics, 90</w:t>
      </w:r>
      <w:r w:rsidRPr="00DF1FE1">
        <w:t>(3), 891-904. doi:10.1007/s11192-011-0494-7</w:t>
      </w:r>
    </w:p>
    <w:p w14:paraId="510E4ECE" w14:textId="77777777" w:rsidR="00DF1FE1" w:rsidRPr="00DF1FE1" w:rsidRDefault="00DF1FE1" w:rsidP="00DF1FE1">
      <w:pPr>
        <w:pStyle w:val="EndNoteBibliography"/>
        <w:spacing w:after="0"/>
        <w:ind w:left="720" w:hanging="720"/>
      </w:pPr>
      <w:r w:rsidRPr="00DF1FE1">
        <w:t xml:space="preserve">Fiedler, K., &amp; Schwarz, N. (2015). Questionable Research Practices Revisited. </w:t>
      </w:r>
      <w:r w:rsidRPr="00DF1FE1">
        <w:rPr>
          <w:i/>
        </w:rPr>
        <w:t>Social Psychological and Personality Science, 7</w:t>
      </w:r>
      <w:r w:rsidRPr="00DF1FE1">
        <w:t>(1), 45-52. doi:10.1177/1948550615612150</w:t>
      </w:r>
    </w:p>
    <w:p w14:paraId="55DF895A" w14:textId="7C43A0EB" w:rsidR="00DF1FE1" w:rsidRPr="00DF1FE1" w:rsidRDefault="00DF1FE1" w:rsidP="00DF1FE1">
      <w:pPr>
        <w:pStyle w:val="EndNoteBibliography"/>
        <w:spacing w:after="0"/>
        <w:ind w:left="720" w:hanging="720"/>
      </w:pPr>
      <w:r w:rsidRPr="00DF1FE1">
        <w:t xml:space="preserve">Franco, A., Malhotra, N., &amp; Simonovits, G. (2014). Publication bias in the social sciences: Unlocking the file drawer. </w:t>
      </w:r>
      <w:r w:rsidRPr="00DF1FE1">
        <w:rPr>
          <w:i/>
        </w:rPr>
        <w:t>Science, 345</w:t>
      </w:r>
      <w:r w:rsidRPr="00DF1FE1">
        <w:t xml:space="preserve">(6203), 1502.  Retrieved from </w:t>
      </w:r>
      <w:hyperlink r:id="rId25" w:history="1">
        <w:r w:rsidRPr="00DF1FE1">
          <w:rPr>
            <w:rStyle w:val="Hyperlink"/>
          </w:rPr>
          <w:t>http://science.sciencemag.org/content/345/6203/1502.abstract</w:t>
        </w:r>
      </w:hyperlink>
    </w:p>
    <w:p w14:paraId="17F41F98" w14:textId="77777777" w:rsidR="00DF1FE1" w:rsidRPr="00DF1FE1" w:rsidRDefault="00DF1FE1" w:rsidP="00DF1FE1">
      <w:pPr>
        <w:pStyle w:val="EndNoteBibliography"/>
        <w:spacing w:after="0"/>
        <w:ind w:left="720" w:hanging="720"/>
      </w:pPr>
      <w:r w:rsidRPr="00DF1FE1">
        <w:t xml:space="preserve">Hartgerink, C. H. J., van Aert, R. C. M., Nuijten, M. B., Wicherts, J. M., &amp; van Assen, M. A. L. M. (2016). Distributions of p-values smaller than .05 in psychology: what is going on? </w:t>
      </w:r>
      <w:r w:rsidRPr="00DF1FE1">
        <w:rPr>
          <w:i/>
        </w:rPr>
        <w:t>PeerJ, 4</w:t>
      </w:r>
      <w:r w:rsidRPr="00DF1FE1">
        <w:t>, e1935. doi:10.7717/peerj.1935</w:t>
      </w:r>
    </w:p>
    <w:p w14:paraId="69BE18E8" w14:textId="77777777" w:rsidR="00DF1FE1" w:rsidRPr="00DF1FE1" w:rsidRDefault="00DF1FE1" w:rsidP="00DF1FE1">
      <w:pPr>
        <w:pStyle w:val="EndNoteBibliography"/>
        <w:spacing w:after="0"/>
        <w:ind w:left="720" w:hanging="720"/>
      </w:pPr>
      <w:r w:rsidRPr="00DF1FE1">
        <w:t xml:space="preserve">Hedges, L. V. (1992). Modeling Publication Selection Effects in Meta-Analysis. </w:t>
      </w:r>
      <w:r w:rsidRPr="00DF1FE1">
        <w:rPr>
          <w:i/>
        </w:rPr>
        <w:t>Statistical Science, 7</w:t>
      </w:r>
      <w:r w:rsidRPr="00DF1FE1">
        <w:t xml:space="preserve">(2), 246-255. </w:t>
      </w:r>
    </w:p>
    <w:p w14:paraId="3F3BD07D" w14:textId="77777777" w:rsidR="00DF1FE1" w:rsidRPr="00DF1FE1" w:rsidRDefault="00DF1FE1" w:rsidP="00DF1FE1">
      <w:pPr>
        <w:pStyle w:val="EndNoteBibliography"/>
        <w:spacing w:after="0"/>
        <w:ind w:left="720" w:hanging="720"/>
      </w:pPr>
      <w:r w:rsidRPr="00DF1FE1">
        <w:lastRenderedPageBreak/>
        <w:t xml:space="preserve">The importance of no evidence. (2019). </w:t>
      </w:r>
      <w:r w:rsidRPr="00DF1FE1">
        <w:rPr>
          <w:i/>
        </w:rPr>
        <w:t>Nature Human Behaviour, 3</w:t>
      </w:r>
      <w:r w:rsidRPr="00DF1FE1">
        <w:t>(3), 197-197. doi:10.1038/s41562-019-0569-7</w:t>
      </w:r>
    </w:p>
    <w:p w14:paraId="76612A66" w14:textId="77777777" w:rsidR="00DF1FE1" w:rsidRPr="00DF1FE1" w:rsidRDefault="00DF1FE1" w:rsidP="00DF1FE1">
      <w:pPr>
        <w:pStyle w:val="EndNoteBibliography"/>
        <w:spacing w:after="0"/>
        <w:ind w:left="720" w:hanging="720"/>
      </w:pPr>
      <w:r w:rsidRPr="00DF1FE1">
        <w:t xml:space="preserve">John, L. K., Loewenstein, G., &amp; Prelec, D. (2012). Measuring the Prevalence of Questionable Research Practices With Incentives for Truth Telling. </w:t>
      </w:r>
      <w:r w:rsidRPr="00DF1FE1">
        <w:rPr>
          <w:i/>
        </w:rPr>
        <w:t>Psychological Science, 23</w:t>
      </w:r>
      <w:r w:rsidRPr="00DF1FE1">
        <w:t>(5), 524-532. doi:10.1177/0956797611430953</w:t>
      </w:r>
    </w:p>
    <w:p w14:paraId="2A3A636A" w14:textId="77777777" w:rsidR="00DF1FE1" w:rsidRPr="00DF1FE1" w:rsidRDefault="00DF1FE1" w:rsidP="00DF1FE1">
      <w:pPr>
        <w:pStyle w:val="EndNoteBibliography"/>
        <w:spacing w:after="0"/>
        <w:ind w:left="720" w:hanging="720"/>
      </w:pPr>
      <w:r w:rsidRPr="00DF1FE1">
        <w:t xml:space="preserve">Kelley, K., Darku, F. B., &amp; Chattopadhyay, B. (2017). Accuracy in Parameter Estimation for a General Class of Effect Sizes: A Sequential Approach. </w:t>
      </w:r>
      <w:r w:rsidRPr="00DF1FE1">
        <w:rPr>
          <w:i/>
        </w:rPr>
        <w:t>Psychological Methods</w:t>
      </w:r>
      <w:r w:rsidRPr="00DF1FE1">
        <w:t>. doi:10.1037/met0000127</w:t>
      </w:r>
    </w:p>
    <w:p w14:paraId="358B1D4A" w14:textId="77777777" w:rsidR="00DF1FE1" w:rsidRPr="00DF1FE1" w:rsidRDefault="00DF1FE1" w:rsidP="00DF1FE1">
      <w:pPr>
        <w:pStyle w:val="EndNoteBibliography"/>
        <w:spacing w:after="0"/>
        <w:ind w:left="720" w:hanging="720"/>
      </w:pPr>
      <w:r w:rsidRPr="00DF1FE1">
        <w:t xml:space="preserve">Kenny, D. A., &amp; Judd, C. M. (2019). The unappreciated heterogeneity of effect sizes: Implications for power, precision, planning of research, and replication. </w:t>
      </w:r>
      <w:r w:rsidRPr="00DF1FE1">
        <w:rPr>
          <w:i/>
        </w:rPr>
        <w:t>Psychol Methods</w:t>
      </w:r>
      <w:r w:rsidRPr="00DF1FE1">
        <w:t>. doi:10.1037/met0000209</w:t>
      </w:r>
    </w:p>
    <w:p w14:paraId="5DA723D1" w14:textId="77777777" w:rsidR="00DF1FE1" w:rsidRPr="00DF1FE1" w:rsidRDefault="00DF1FE1" w:rsidP="00DF1FE1">
      <w:pPr>
        <w:pStyle w:val="EndNoteBibliography"/>
        <w:spacing w:after="0"/>
        <w:ind w:left="720" w:hanging="720"/>
      </w:pPr>
      <w:r w:rsidRPr="00DF1FE1">
        <w:t xml:space="preserve">Kerr, N. L. (1998). HARKing: Hypothesizing After the Results are Known. </w:t>
      </w:r>
      <w:r w:rsidRPr="00DF1FE1">
        <w:rPr>
          <w:i/>
        </w:rPr>
        <w:t>Personality and Social Psychology Review, 2</w:t>
      </w:r>
      <w:r w:rsidRPr="00DF1FE1">
        <w:t>(3), 196-217. doi:10.1207/s15327957pspr0203_4</w:t>
      </w:r>
    </w:p>
    <w:p w14:paraId="6F8D5E3C" w14:textId="77777777" w:rsidR="00DF1FE1" w:rsidRPr="00DF1FE1" w:rsidRDefault="00DF1FE1" w:rsidP="00DF1FE1">
      <w:pPr>
        <w:pStyle w:val="EndNoteBibliography"/>
        <w:spacing w:after="0"/>
        <w:ind w:left="720" w:hanging="720"/>
      </w:pPr>
      <w:r w:rsidRPr="00DF1FE1">
        <w:t xml:space="preserve">Klein, R., Ratliff, K., Vianello, M., Adams Jr, R., Bahník, S., Bernstein, M., . . . Brumbaugh, C. (2014). Data from investigating variation in replicability: A “many labs” replication project. </w:t>
      </w:r>
      <w:r w:rsidRPr="00DF1FE1">
        <w:rPr>
          <w:i/>
        </w:rPr>
        <w:t>Journal of Open Psychology Data, 2</w:t>
      </w:r>
      <w:r w:rsidRPr="00DF1FE1">
        <w:t xml:space="preserve">(1). </w:t>
      </w:r>
    </w:p>
    <w:p w14:paraId="4C9300C7" w14:textId="77777777" w:rsidR="00DF1FE1" w:rsidRPr="00DF1FE1" w:rsidRDefault="00DF1FE1" w:rsidP="00DF1FE1">
      <w:pPr>
        <w:pStyle w:val="EndNoteBibliography"/>
        <w:spacing w:after="0"/>
        <w:ind w:left="720" w:hanging="720"/>
      </w:pPr>
      <w:r w:rsidRPr="00DF1FE1">
        <w:t xml:space="preserve">Lakens, D. (2017). Equivalence Tests. </w:t>
      </w:r>
      <w:r w:rsidRPr="00DF1FE1">
        <w:rPr>
          <w:i/>
        </w:rPr>
        <w:t>Social Psychological and Personality Science, 8</w:t>
      </w:r>
      <w:r w:rsidRPr="00DF1FE1">
        <w:t>(4), 355-362. doi:10.1177/1948550617697177</w:t>
      </w:r>
    </w:p>
    <w:p w14:paraId="5A7C227E" w14:textId="77777777" w:rsidR="00DF1FE1" w:rsidRPr="00DF1FE1" w:rsidRDefault="00DF1FE1" w:rsidP="00DF1FE1">
      <w:pPr>
        <w:pStyle w:val="EndNoteBibliography"/>
        <w:spacing w:after="0"/>
        <w:ind w:left="720" w:hanging="720"/>
      </w:pPr>
      <w:r w:rsidRPr="00DF1FE1">
        <w:t xml:space="preserve">Lakens, D., Scheel, A. M., &amp; Isager, P. M. (2018). Equivalence Testing for Psychological Research: A Tutorial. </w:t>
      </w:r>
      <w:r w:rsidRPr="00DF1FE1">
        <w:rPr>
          <w:i/>
        </w:rPr>
        <w:t>Advances In Methods and Practices in Psychological Science, 1</w:t>
      </w:r>
      <w:r w:rsidRPr="00DF1FE1">
        <w:t>(2), 259-269. doi:10.1177/2515245918770963</w:t>
      </w:r>
    </w:p>
    <w:p w14:paraId="5EE4F9B7" w14:textId="77777777" w:rsidR="00DF1FE1" w:rsidRPr="00DF1FE1" w:rsidRDefault="00DF1FE1" w:rsidP="00DF1FE1">
      <w:pPr>
        <w:pStyle w:val="EndNoteBibliography"/>
        <w:spacing w:after="0"/>
        <w:ind w:left="720" w:hanging="720"/>
      </w:pPr>
      <w:r w:rsidRPr="00DF1FE1">
        <w:t xml:space="preserve">Lane, D. M., &amp; Dunlap, W. P. (1978). Estimating effect size: Bias resulting from the significance criterion in editorial decisions. </w:t>
      </w:r>
      <w:r w:rsidRPr="00DF1FE1">
        <w:rPr>
          <w:i/>
        </w:rPr>
        <w:t>British Journal of Mathematical and Statistical Psychology, 31</w:t>
      </w:r>
      <w:r w:rsidRPr="00DF1FE1">
        <w:t>(2), 107-112. doi:10.1111/j.2044-8317.1978.tb00578.x</w:t>
      </w:r>
    </w:p>
    <w:p w14:paraId="0CD53708" w14:textId="77777777" w:rsidR="00DF1FE1" w:rsidRPr="00DF1FE1" w:rsidRDefault="00DF1FE1" w:rsidP="00DF1FE1">
      <w:pPr>
        <w:pStyle w:val="EndNoteBibliography"/>
        <w:spacing w:after="0"/>
        <w:ind w:left="720" w:hanging="720"/>
      </w:pPr>
      <w:r w:rsidRPr="00DF1FE1">
        <w:t xml:space="preserve">Mahoney, M. J. (1977). Publication prejudices: An experimental study of confirmatory bias in the peer review system. </w:t>
      </w:r>
      <w:r w:rsidRPr="00DF1FE1">
        <w:rPr>
          <w:i/>
        </w:rPr>
        <w:t>Cognitive Therapy and Research, 1</w:t>
      </w:r>
      <w:r w:rsidRPr="00DF1FE1">
        <w:t>(2), 161-175. doi:10.1007/BF01173636</w:t>
      </w:r>
    </w:p>
    <w:p w14:paraId="1707379A" w14:textId="77777777" w:rsidR="00DF1FE1" w:rsidRPr="00DF1FE1" w:rsidRDefault="00DF1FE1" w:rsidP="00DF1FE1">
      <w:pPr>
        <w:pStyle w:val="EndNoteBibliography"/>
        <w:spacing w:after="0"/>
        <w:ind w:left="720" w:hanging="720"/>
      </w:pPr>
      <w:r w:rsidRPr="00DF1FE1">
        <w:t xml:space="preserve">Maxwell, S. E., Kelley, K., &amp; Rausch, J. R. (2008). Sample size planning for statistical power and accuracy in parameter estimation. </w:t>
      </w:r>
      <w:r w:rsidRPr="00DF1FE1">
        <w:rPr>
          <w:i/>
        </w:rPr>
        <w:t>Annual Review of Psychology, 59</w:t>
      </w:r>
      <w:r w:rsidRPr="00DF1FE1">
        <w:t>(1), 537-563. doi:doi:10.1146/annurev.psych.59.103006.093735</w:t>
      </w:r>
    </w:p>
    <w:p w14:paraId="1EC46089" w14:textId="77777777" w:rsidR="00DF1FE1" w:rsidRPr="00DF1FE1" w:rsidRDefault="00DF1FE1" w:rsidP="00DF1FE1">
      <w:pPr>
        <w:pStyle w:val="EndNoteBibliography"/>
        <w:spacing w:after="0"/>
        <w:ind w:left="720" w:hanging="720"/>
      </w:pPr>
      <w:r w:rsidRPr="00DF1FE1">
        <w:t xml:space="preserve">Moshontz, H., Campbell, L., Ebersole, C. R., Ijzerman, H., Urry, H. L., Forscher, P. S., . . . Chartier, C. R. (2018). The Psychological Science Accelerator: Advancing Psychology Through a Distributed Collaborative Network. </w:t>
      </w:r>
      <w:r w:rsidRPr="00DF1FE1">
        <w:rPr>
          <w:i/>
        </w:rPr>
        <w:t>Advances In Methods and Practices in Psychological Science, 1</w:t>
      </w:r>
      <w:r w:rsidRPr="00DF1FE1">
        <w:t>(4), 501-515. doi:10.1177/2515245918797607</w:t>
      </w:r>
    </w:p>
    <w:p w14:paraId="35818BBE" w14:textId="77777777" w:rsidR="00DF1FE1" w:rsidRPr="00DF1FE1" w:rsidRDefault="00DF1FE1" w:rsidP="00DF1FE1">
      <w:pPr>
        <w:pStyle w:val="EndNoteBibliography"/>
        <w:spacing w:after="0"/>
        <w:ind w:left="720" w:hanging="720"/>
      </w:pPr>
      <w:r w:rsidRPr="00DF1FE1">
        <w:t xml:space="preserve">Murphy, K. R., &amp; Aguinis, H. (2017). HARKing: How Badly Can Cherry-Picking and Question Trolling Produce Bias in Published Results? </w:t>
      </w:r>
      <w:r w:rsidRPr="00DF1FE1">
        <w:rPr>
          <w:i/>
        </w:rPr>
        <w:t>Journal of Business and Psychology</w:t>
      </w:r>
      <w:r w:rsidRPr="00DF1FE1">
        <w:t>. doi:10.1007/s10869-017-9524-7</w:t>
      </w:r>
    </w:p>
    <w:p w14:paraId="3C2EFB40" w14:textId="77777777" w:rsidR="00DF1FE1" w:rsidRPr="00DF1FE1" w:rsidRDefault="00DF1FE1" w:rsidP="00DF1FE1">
      <w:pPr>
        <w:pStyle w:val="EndNoteBibliography"/>
        <w:spacing w:after="0"/>
        <w:ind w:left="720" w:hanging="720"/>
      </w:pPr>
      <w:r w:rsidRPr="00DF1FE1">
        <w:t xml:space="preserve">Nakagawa, S., &amp; Santos, E. S. A. (2012). Methodological issues and advances in biological meta-analysis. </w:t>
      </w:r>
      <w:r w:rsidRPr="00DF1FE1">
        <w:rPr>
          <w:i/>
        </w:rPr>
        <w:t>Evolutionary Ecology, 26</w:t>
      </w:r>
      <w:r w:rsidRPr="00DF1FE1">
        <w:t>(5), 1253-1274. doi:10.1007/s10682-012-9555-5</w:t>
      </w:r>
    </w:p>
    <w:p w14:paraId="7BA56A3B" w14:textId="77777777" w:rsidR="00DF1FE1" w:rsidRPr="00DF1FE1" w:rsidRDefault="00DF1FE1" w:rsidP="00DF1FE1">
      <w:pPr>
        <w:pStyle w:val="EndNoteBibliography"/>
        <w:spacing w:after="0"/>
        <w:ind w:left="720" w:hanging="720"/>
      </w:pPr>
      <w:r w:rsidRPr="00DF1FE1">
        <w:t xml:space="preserve">Nosek, B. A., &amp; Lakens, D. (2014). Registered Reports. </w:t>
      </w:r>
      <w:r w:rsidRPr="00DF1FE1">
        <w:rPr>
          <w:i/>
        </w:rPr>
        <w:t>Social Psychology, 45</w:t>
      </w:r>
      <w:r w:rsidRPr="00DF1FE1">
        <w:t>(3), 137-141. doi:10.1027/1864-9335/a000192</w:t>
      </w:r>
    </w:p>
    <w:p w14:paraId="7AFB0A21" w14:textId="77777777" w:rsidR="00DF1FE1" w:rsidRPr="00DF1FE1" w:rsidRDefault="00DF1FE1" w:rsidP="00DF1FE1">
      <w:pPr>
        <w:pStyle w:val="EndNoteBibliography"/>
        <w:spacing w:after="0"/>
        <w:ind w:left="720" w:hanging="720"/>
      </w:pPr>
      <w:r w:rsidRPr="00DF1FE1">
        <w:t xml:space="preserve">Oakes, M. (1986). </w:t>
      </w:r>
      <w:r w:rsidRPr="00DF1FE1">
        <w:rPr>
          <w:i/>
        </w:rPr>
        <w:t>Statistical inference: A commentary for the social and behavioural sciences</w:t>
      </w:r>
      <w:r w:rsidRPr="00DF1FE1">
        <w:t xml:space="preserve">. New York, NY: Wiley. </w:t>
      </w:r>
    </w:p>
    <w:p w14:paraId="0DD911C3" w14:textId="1966EBF4" w:rsidR="00DF1FE1" w:rsidRPr="00DF1FE1" w:rsidRDefault="00DF1FE1" w:rsidP="00DF1FE1">
      <w:pPr>
        <w:pStyle w:val="EndNoteBibliography"/>
        <w:spacing w:after="0"/>
        <w:ind w:left="720" w:hanging="720"/>
      </w:pPr>
      <w:r w:rsidRPr="00DF1FE1">
        <w:t xml:space="preserve">Open Science Collaboration. (2015). Estimating the reproducibility of psychological science. </w:t>
      </w:r>
      <w:r w:rsidRPr="00DF1FE1">
        <w:rPr>
          <w:i/>
        </w:rPr>
        <w:t>Science, 349</w:t>
      </w:r>
      <w:r w:rsidRPr="00DF1FE1">
        <w:t xml:space="preserve">(6251).  Retrieved from </w:t>
      </w:r>
      <w:hyperlink r:id="rId26" w:history="1">
        <w:r w:rsidRPr="00DF1FE1">
          <w:rPr>
            <w:rStyle w:val="Hyperlink"/>
          </w:rPr>
          <w:t>http://science.sciencemag.org/content/349/6251/aac4716.abstract</w:t>
        </w:r>
      </w:hyperlink>
    </w:p>
    <w:p w14:paraId="18C86D9C" w14:textId="77777777" w:rsidR="00DF1FE1" w:rsidRPr="00DF1FE1" w:rsidRDefault="00DF1FE1" w:rsidP="00DF1FE1">
      <w:pPr>
        <w:pStyle w:val="EndNoteBibliography"/>
        <w:spacing w:after="0"/>
        <w:ind w:left="720" w:hanging="720"/>
      </w:pPr>
      <w:r w:rsidRPr="00DF1FE1">
        <w:t xml:space="preserve">Plummer, M., Stukalov, A., &amp; Denwood, M. (2018). rjags: Bayesian Graphical Models using MCMC. R package version 4.8.0. </w:t>
      </w:r>
    </w:p>
    <w:p w14:paraId="1491AA3F" w14:textId="77777777" w:rsidR="00DF1FE1" w:rsidRPr="00DF1FE1" w:rsidRDefault="00DF1FE1" w:rsidP="00DF1FE1">
      <w:pPr>
        <w:pStyle w:val="EndNoteBibliography"/>
        <w:spacing w:after="0"/>
        <w:ind w:left="720" w:hanging="720"/>
      </w:pPr>
      <w:r w:rsidRPr="00DF1FE1">
        <w:t xml:space="preserve">Pocock, S. J. (1977). Group sequential methods in the design and analysis of clinical trials. </w:t>
      </w:r>
      <w:r w:rsidRPr="00DF1FE1">
        <w:rPr>
          <w:i/>
        </w:rPr>
        <w:t>Biometrika, 64</w:t>
      </w:r>
      <w:r w:rsidRPr="00DF1FE1">
        <w:t>(2), 191-199. doi:10.1093/biomet/64.2.191</w:t>
      </w:r>
    </w:p>
    <w:p w14:paraId="52D393C0" w14:textId="1291237F" w:rsidR="00DF1FE1" w:rsidRPr="00DF1FE1" w:rsidRDefault="00DF1FE1" w:rsidP="00DF1FE1">
      <w:pPr>
        <w:pStyle w:val="EndNoteBibliography"/>
        <w:spacing w:after="0"/>
        <w:ind w:left="720" w:hanging="720"/>
      </w:pPr>
      <w:r w:rsidRPr="00DF1FE1">
        <w:lastRenderedPageBreak/>
        <w:t xml:space="preserve">R Development Core Team. (2018). R: A language and environment for statistical computing (Version 3.5.0). Vienna, Austria: R Foundation for Statistical Computing. Retrieved from </w:t>
      </w:r>
      <w:hyperlink r:id="rId27" w:history="1">
        <w:r w:rsidRPr="00DF1FE1">
          <w:rPr>
            <w:rStyle w:val="Hyperlink"/>
          </w:rPr>
          <w:t>http://www.R-project.org</w:t>
        </w:r>
      </w:hyperlink>
    </w:p>
    <w:p w14:paraId="4DC459AE" w14:textId="64966AA6" w:rsidR="00DF1FE1" w:rsidRPr="00DF1FE1" w:rsidRDefault="00DF1FE1" w:rsidP="00DF1FE1">
      <w:pPr>
        <w:pStyle w:val="EndNoteBibliography"/>
        <w:spacing w:after="0"/>
        <w:ind w:left="720" w:hanging="720"/>
      </w:pPr>
      <w:r w:rsidRPr="00DF1FE1">
        <w:t xml:space="preserve">Schäfer, T., &amp; Schwarz, M. A. (2019). The Meaningfulness of Effect Sizes in Psychological Research: Differences Between Sub-Disciplines and the Impact of Potential Biases. </w:t>
      </w:r>
      <w:r w:rsidRPr="00DF1FE1">
        <w:rPr>
          <w:i/>
        </w:rPr>
        <w:t>Frontiers in Psychology, 10</w:t>
      </w:r>
      <w:r w:rsidRPr="00DF1FE1">
        <w:t xml:space="preserve">, 813.  Retrieved from </w:t>
      </w:r>
      <w:hyperlink r:id="rId28" w:history="1">
        <w:r w:rsidRPr="00DF1FE1">
          <w:rPr>
            <w:rStyle w:val="Hyperlink"/>
          </w:rPr>
          <w:t>https://www.frontiersin.org/article/10.3389/fpsyg.2019.00813</w:t>
        </w:r>
      </w:hyperlink>
    </w:p>
    <w:p w14:paraId="2DA6674B" w14:textId="77777777" w:rsidR="00DF1FE1" w:rsidRPr="00DF1FE1" w:rsidRDefault="00DF1FE1" w:rsidP="00DF1FE1">
      <w:pPr>
        <w:pStyle w:val="EndNoteBibliography"/>
        <w:spacing w:after="0"/>
        <w:ind w:left="720" w:hanging="720"/>
      </w:pPr>
      <w:r w:rsidRPr="00DF1FE1">
        <w:t xml:space="preserve">Simmons, J. P., Nelson, L. D., &amp; Simonsohn, U. (2011). False-Positive Psychology. </w:t>
      </w:r>
      <w:r w:rsidRPr="00DF1FE1">
        <w:rPr>
          <w:i/>
        </w:rPr>
        <w:t>Psychological Science, 22</w:t>
      </w:r>
      <w:r w:rsidRPr="00DF1FE1">
        <w:t>(11), 1359-1366. doi:10.1177/0956797611417632</w:t>
      </w:r>
    </w:p>
    <w:p w14:paraId="0BFA20A3" w14:textId="77777777" w:rsidR="00DF1FE1" w:rsidRPr="00DF1FE1" w:rsidRDefault="00DF1FE1" w:rsidP="00DF1FE1">
      <w:pPr>
        <w:pStyle w:val="EndNoteBibliography"/>
        <w:spacing w:after="0"/>
        <w:ind w:left="720" w:hanging="720"/>
      </w:pPr>
      <w:r w:rsidRPr="00DF1FE1">
        <w:t xml:space="preserve">Stanley, T. D., Carter, E. C., &amp; Doucouliagos, H. (2018). What Meta-Analyses Reveal About the Replicability of Psychological Research. </w:t>
      </w:r>
      <w:r w:rsidRPr="00DF1FE1">
        <w:rPr>
          <w:i/>
        </w:rPr>
        <w:t>Psychological Bulletin</w:t>
      </w:r>
      <w:r w:rsidRPr="00DF1FE1">
        <w:t xml:space="preserve">. </w:t>
      </w:r>
    </w:p>
    <w:p w14:paraId="47D491AC" w14:textId="77777777" w:rsidR="00DF1FE1" w:rsidRPr="00DF1FE1" w:rsidRDefault="00DF1FE1" w:rsidP="00DF1FE1">
      <w:pPr>
        <w:pStyle w:val="EndNoteBibliography"/>
        <w:spacing w:after="0"/>
        <w:ind w:left="720" w:hanging="720"/>
      </w:pPr>
      <w:r w:rsidRPr="00DF1FE1">
        <w:t xml:space="preserve">Sterling, T. D. (1959). Publication Decisions and Their Possible Effects on Inferences Drawn from Tests of Significance--Or Vice Versa. </w:t>
      </w:r>
      <w:r w:rsidRPr="00DF1FE1">
        <w:rPr>
          <w:i/>
        </w:rPr>
        <w:t>Journal of the American Statistical Association, 54</w:t>
      </w:r>
      <w:r w:rsidRPr="00DF1FE1">
        <w:t>(285), 30-34. doi:10.2307/2282137</w:t>
      </w:r>
    </w:p>
    <w:p w14:paraId="71EC7521" w14:textId="77777777" w:rsidR="00DF1FE1" w:rsidRPr="00DF1FE1" w:rsidRDefault="00DF1FE1" w:rsidP="00DF1FE1">
      <w:pPr>
        <w:pStyle w:val="EndNoteBibliography"/>
        <w:spacing w:after="0"/>
        <w:ind w:left="720" w:hanging="720"/>
      </w:pPr>
      <w:r w:rsidRPr="00DF1FE1">
        <w:t xml:space="preserve">Szucs, D., &amp; Ioannidis, J. P. A. (2017). Empirical assessment of published effect sizes and power in the recent cognitive neuroscience and psychology literature. </w:t>
      </w:r>
      <w:r w:rsidRPr="00DF1FE1">
        <w:rPr>
          <w:i/>
        </w:rPr>
        <w:t>PLOS Biology, 15</w:t>
      </w:r>
      <w:r w:rsidRPr="00DF1FE1">
        <w:t>(3), e2000797. doi:10.1371/journal.pbio.2000797</w:t>
      </w:r>
    </w:p>
    <w:p w14:paraId="70BD2D7F" w14:textId="77777777" w:rsidR="00DF1FE1" w:rsidRPr="00DF1FE1" w:rsidRDefault="00DF1FE1" w:rsidP="00DF1FE1">
      <w:pPr>
        <w:pStyle w:val="EndNoteBibliography"/>
        <w:spacing w:after="0"/>
        <w:ind w:left="720" w:hanging="720"/>
      </w:pPr>
      <w:r w:rsidRPr="00DF1FE1">
        <w:t xml:space="preserve">Thompson, B. (2002). What Future Quantitative Social Science Research Could Look Like: Confidence Intervals for Effect Sizes. </w:t>
      </w:r>
      <w:r w:rsidRPr="00DF1FE1">
        <w:rPr>
          <w:i/>
        </w:rPr>
        <w:t>Educational Researcher, 31</w:t>
      </w:r>
      <w:r w:rsidRPr="00DF1FE1">
        <w:t>(3), 25-32. doi:10.3102/0013189X031003025</w:t>
      </w:r>
    </w:p>
    <w:p w14:paraId="74418B4E" w14:textId="77777777" w:rsidR="00DF1FE1" w:rsidRPr="00DF1FE1" w:rsidRDefault="00DF1FE1" w:rsidP="00DF1FE1">
      <w:pPr>
        <w:pStyle w:val="EndNoteBibliography"/>
        <w:spacing w:after="0"/>
        <w:ind w:left="720" w:hanging="720"/>
      </w:pPr>
      <w:r w:rsidRPr="00DF1FE1">
        <w:t xml:space="preserve">Viechtbauer, W. (2010). Conducting Meta-Analyses in R with the metafor Package. </w:t>
      </w:r>
      <w:r w:rsidRPr="00DF1FE1">
        <w:rPr>
          <w:i/>
        </w:rPr>
        <w:t>Journal Of Statistical Software, 36</w:t>
      </w:r>
      <w:r w:rsidRPr="00DF1FE1">
        <w:t>(3), 48. doi:10.18637/jss.v036.i03</w:t>
      </w:r>
    </w:p>
    <w:p w14:paraId="738CD4ED" w14:textId="77777777" w:rsidR="00DF1FE1" w:rsidRPr="00DF1FE1" w:rsidRDefault="00DF1FE1" w:rsidP="00DF1FE1">
      <w:pPr>
        <w:pStyle w:val="EndNoteBibliography"/>
        <w:ind w:left="720" w:hanging="720"/>
      </w:pPr>
      <w:r w:rsidRPr="00DF1FE1">
        <w:t xml:space="preserve">Wicherts, J. M., Veldkamp, C. L. S., Augusteijn, H. E. M., Bakker, M., van Aert, R. C. M., &amp; van Assen, M. A. L. M. (2016). Degrees of Freedom in Planning, Running, Analyzing, and Reporting Psychological Studies: A Checklist to Avoid p-Hacking. </w:t>
      </w:r>
      <w:r w:rsidRPr="00DF1FE1">
        <w:rPr>
          <w:i/>
        </w:rPr>
        <w:t>Frontiers in Psychology, 7</w:t>
      </w:r>
      <w:r w:rsidRPr="00DF1FE1">
        <w:t>, 1832. doi:10.3389/fpsyg.2016.01832</w:t>
      </w:r>
    </w:p>
    <w:p w14:paraId="375300D5" w14:textId="3925A08B"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2237A" w14:textId="77777777" w:rsidR="00E71EBC" w:rsidRDefault="00E71EBC" w:rsidP="007F350D">
      <w:pPr>
        <w:spacing w:after="0" w:line="240" w:lineRule="auto"/>
      </w:pPr>
      <w:r>
        <w:separator/>
      </w:r>
    </w:p>
  </w:endnote>
  <w:endnote w:type="continuationSeparator" w:id="0">
    <w:p w14:paraId="4A39FC31" w14:textId="77777777" w:rsidR="00E71EBC" w:rsidRDefault="00E71EBC"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966D7" w14:textId="77777777" w:rsidR="00E71EBC" w:rsidRDefault="00E71EBC" w:rsidP="007F350D">
      <w:pPr>
        <w:spacing w:after="0" w:line="240" w:lineRule="auto"/>
      </w:pPr>
      <w:r>
        <w:separator/>
      </w:r>
    </w:p>
  </w:footnote>
  <w:footnote w:type="continuationSeparator" w:id="0">
    <w:p w14:paraId="599507B7" w14:textId="77777777" w:rsidR="00E71EBC" w:rsidRDefault="00E71EBC"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67D07C1D"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df9adecpx5dee00dpp5rfwzdpws09v09wd&quot;&gt;Statistical Power Analysis Literature Review Library&lt;record-ids&gt;&lt;item&gt;1912&lt;/item&gt;&lt;/record-ids&gt;&lt;/item&gt;&lt;/Libraries&gt;"/>
  </w:docVars>
  <w:rsids>
    <w:rsidRoot w:val="00137A40"/>
    <w:rsid w:val="000024F6"/>
    <w:rsid w:val="00002634"/>
    <w:rsid w:val="000038AA"/>
    <w:rsid w:val="0000419C"/>
    <w:rsid w:val="00007249"/>
    <w:rsid w:val="000137EB"/>
    <w:rsid w:val="00014A72"/>
    <w:rsid w:val="00021AEF"/>
    <w:rsid w:val="000224C6"/>
    <w:rsid w:val="00024BE0"/>
    <w:rsid w:val="00027651"/>
    <w:rsid w:val="000323A3"/>
    <w:rsid w:val="00033147"/>
    <w:rsid w:val="000331A2"/>
    <w:rsid w:val="00033B96"/>
    <w:rsid w:val="000343FE"/>
    <w:rsid w:val="000355B7"/>
    <w:rsid w:val="0003603B"/>
    <w:rsid w:val="00036D9F"/>
    <w:rsid w:val="000534A4"/>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3727"/>
    <w:rsid w:val="000A1F0C"/>
    <w:rsid w:val="000A2F56"/>
    <w:rsid w:val="000A63FE"/>
    <w:rsid w:val="000B5C72"/>
    <w:rsid w:val="000C0987"/>
    <w:rsid w:val="000C2CFA"/>
    <w:rsid w:val="000C4558"/>
    <w:rsid w:val="000D6701"/>
    <w:rsid w:val="000D6C75"/>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490F"/>
    <w:rsid w:val="001251C9"/>
    <w:rsid w:val="001305DC"/>
    <w:rsid w:val="00131725"/>
    <w:rsid w:val="001328C1"/>
    <w:rsid w:val="0013340D"/>
    <w:rsid w:val="00133935"/>
    <w:rsid w:val="001356B1"/>
    <w:rsid w:val="00137A40"/>
    <w:rsid w:val="001401D6"/>
    <w:rsid w:val="0014078E"/>
    <w:rsid w:val="00140812"/>
    <w:rsid w:val="00142A61"/>
    <w:rsid w:val="00151829"/>
    <w:rsid w:val="001532A5"/>
    <w:rsid w:val="00153F20"/>
    <w:rsid w:val="0015483A"/>
    <w:rsid w:val="00154FFC"/>
    <w:rsid w:val="00157ADA"/>
    <w:rsid w:val="00160DD3"/>
    <w:rsid w:val="00166278"/>
    <w:rsid w:val="001679D9"/>
    <w:rsid w:val="00170905"/>
    <w:rsid w:val="00172B7C"/>
    <w:rsid w:val="00173FBB"/>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90D"/>
    <w:rsid w:val="001D1CAE"/>
    <w:rsid w:val="001D21DA"/>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62F8"/>
    <w:rsid w:val="0029538B"/>
    <w:rsid w:val="002977EF"/>
    <w:rsid w:val="002A45B2"/>
    <w:rsid w:val="002B3F0E"/>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511B"/>
    <w:rsid w:val="002E78E8"/>
    <w:rsid w:val="002F2533"/>
    <w:rsid w:val="002F5BD7"/>
    <w:rsid w:val="00301012"/>
    <w:rsid w:val="003053DC"/>
    <w:rsid w:val="0030602D"/>
    <w:rsid w:val="00307873"/>
    <w:rsid w:val="00311AEA"/>
    <w:rsid w:val="003171FC"/>
    <w:rsid w:val="00321ACD"/>
    <w:rsid w:val="00322B80"/>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68EF"/>
    <w:rsid w:val="0038241D"/>
    <w:rsid w:val="00382C5B"/>
    <w:rsid w:val="00386532"/>
    <w:rsid w:val="003870F2"/>
    <w:rsid w:val="00390492"/>
    <w:rsid w:val="0039054F"/>
    <w:rsid w:val="00393EDC"/>
    <w:rsid w:val="00395763"/>
    <w:rsid w:val="00395F71"/>
    <w:rsid w:val="003A0319"/>
    <w:rsid w:val="003A3D15"/>
    <w:rsid w:val="003A584B"/>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0C3C"/>
    <w:rsid w:val="004413F6"/>
    <w:rsid w:val="004429F6"/>
    <w:rsid w:val="004434E5"/>
    <w:rsid w:val="00443AFE"/>
    <w:rsid w:val="00443B80"/>
    <w:rsid w:val="00444AF5"/>
    <w:rsid w:val="0044540F"/>
    <w:rsid w:val="00445A4B"/>
    <w:rsid w:val="004479E5"/>
    <w:rsid w:val="00457925"/>
    <w:rsid w:val="00457AB6"/>
    <w:rsid w:val="00462025"/>
    <w:rsid w:val="00462229"/>
    <w:rsid w:val="00473B44"/>
    <w:rsid w:val="004761D1"/>
    <w:rsid w:val="00476805"/>
    <w:rsid w:val="004779EF"/>
    <w:rsid w:val="00481F82"/>
    <w:rsid w:val="0048423A"/>
    <w:rsid w:val="00485197"/>
    <w:rsid w:val="004855AB"/>
    <w:rsid w:val="0048790E"/>
    <w:rsid w:val="00493F2E"/>
    <w:rsid w:val="00494AB9"/>
    <w:rsid w:val="004A2C9E"/>
    <w:rsid w:val="004A43F1"/>
    <w:rsid w:val="004B081E"/>
    <w:rsid w:val="004B0E1B"/>
    <w:rsid w:val="004B4A25"/>
    <w:rsid w:val="004C00FC"/>
    <w:rsid w:val="004C1802"/>
    <w:rsid w:val="004C224A"/>
    <w:rsid w:val="004C2E98"/>
    <w:rsid w:val="004C32B9"/>
    <w:rsid w:val="004C4585"/>
    <w:rsid w:val="004C4BAC"/>
    <w:rsid w:val="004C6464"/>
    <w:rsid w:val="004D32C3"/>
    <w:rsid w:val="004D6813"/>
    <w:rsid w:val="004E43ED"/>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20513"/>
    <w:rsid w:val="00520721"/>
    <w:rsid w:val="00520BA2"/>
    <w:rsid w:val="00522226"/>
    <w:rsid w:val="0052253B"/>
    <w:rsid w:val="00522C44"/>
    <w:rsid w:val="00525215"/>
    <w:rsid w:val="00533C6B"/>
    <w:rsid w:val="005343DD"/>
    <w:rsid w:val="00534F06"/>
    <w:rsid w:val="00535F3F"/>
    <w:rsid w:val="00541CAC"/>
    <w:rsid w:val="005421DF"/>
    <w:rsid w:val="00542683"/>
    <w:rsid w:val="00543E55"/>
    <w:rsid w:val="0054478E"/>
    <w:rsid w:val="0054672A"/>
    <w:rsid w:val="00552921"/>
    <w:rsid w:val="00556791"/>
    <w:rsid w:val="0055688E"/>
    <w:rsid w:val="00560130"/>
    <w:rsid w:val="0056066F"/>
    <w:rsid w:val="0056151A"/>
    <w:rsid w:val="00564851"/>
    <w:rsid w:val="00567A13"/>
    <w:rsid w:val="0057219C"/>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561F"/>
    <w:rsid w:val="005C40AD"/>
    <w:rsid w:val="005D0394"/>
    <w:rsid w:val="005D17E4"/>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3020C"/>
    <w:rsid w:val="006308E6"/>
    <w:rsid w:val="00631E30"/>
    <w:rsid w:val="00635D08"/>
    <w:rsid w:val="006374EC"/>
    <w:rsid w:val="006405EE"/>
    <w:rsid w:val="0064232B"/>
    <w:rsid w:val="006430B5"/>
    <w:rsid w:val="00646C67"/>
    <w:rsid w:val="006543CF"/>
    <w:rsid w:val="006564D8"/>
    <w:rsid w:val="00657B46"/>
    <w:rsid w:val="00664366"/>
    <w:rsid w:val="0067017A"/>
    <w:rsid w:val="00672477"/>
    <w:rsid w:val="00674698"/>
    <w:rsid w:val="00676CF2"/>
    <w:rsid w:val="00677AA9"/>
    <w:rsid w:val="006807E7"/>
    <w:rsid w:val="006817CB"/>
    <w:rsid w:val="006846A9"/>
    <w:rsid w:val="006847EB"/>
    <w:rsid w:val="0068496B"/>
    <w:rsid w:val="00685347"/>
    <w:rsid w:val="006863CB"/>
    <w:rsid w:val="00686FD3"/>
    <w:rsid w:val="0068753B"/>
    <w:rsid w:val="00690F85"/>
    <w:rsid w:val="00691196"/>
    <w:rsid w:val="00691A37"/>
    <w:rsid w:val="00693778"/>
    <w:rsid w:val="00694D6E"/>
    <w:rsid w:val="00695B63"/>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313"/>
    <w:rsid w:val="00787D3B"/>
    <w:rsid w:val="0079127C"/>
    <w:rsid w:val="00792338"/>
    <w:rsid w:val="007944C1"/>
    <w:rsid w:val="00797B92"/>
    <w:rsid w:val="00797D27"/>
    <w:rsid w:val="007A0C66"/>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5929"/>
    <w:rsid w:val="00861F40"/>
    <w:rsid w:val="00862B39"/>
    <w:rsid w:val="0086334F"/>
    <w:rsid w:val="008636EA"/>
    <w:rsid w:val="00863EE3"/>
    <w:rsid w:val="0086766B"/>
    <w:rsid w:val="0087056B"/>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B4F79"/>
    <w:rsid w:val="008C0C4F"/>
    <w:rsid w:val="008C5960"/>
    <w:rsid w:val="008C698D"/>
    <w:rsid w:val="008C7166"/>
    <w:rsid w:val="008D14EE"/>
    <w:rsid w:val="008D2843"/>
    <w:rsid w:val="008D3F91"/>
    <w:rsid w:val="008D60CC"/>
    <w:rsid w:val="008E0BAB"/>
    <w:rsid w:val="008E0E09"/>
    <w:rsid w:val="008E0F0A"/>
    <w:rsid w:val="008E1DE1"/>
    <w:rsid w:val="008E23F6"/>
    <w:rsid w:val="008E2432"/>
    <w:rsid w:val="008E29DC"/>
    <w:rsid w:val="008E3732"/>
    <w:rsid w:val="008E50BB"/>
    <w:rsid w:val="008F2257"/>
    <w:rsid w:val="008F50FF"/>
    <w:rsid w:val="008F5FC3"/>
    <w:rsid w:val="008F6B98"/>
    <w:rsid w:val="008F6BB4"/>
    <w:rsid w:val="00903387"/>
    <w:rsid w:val="009035D1"/>
    <w:rsid w:val="00914994"/>
    <w:rsid w:val="009175D5"/>
    <w:rsid w:val="00921268"/>
    <w:rsid w:val="00922D13"/>
    <w:rsid w:val="00923CDA"/>
    <w:rsid w:val="00926AAA"/>
    <w:rsid w:val="009413D4"/>
    <w:rsid w:val="00942204"/>
    <w:rsid w:val="009446F9"/>
    <w:rsid w:val="0094554C"/>
    <w:rsid w:val="00946506"/>
    <w:rsid w:val="009467AD"/>
    <w:rsid w:val="009504BB"/>
    <w:rsid w:val="009507D1"/>
    <w:rsid w:val="00955237"/>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5AF8"/>
    <w:rsid w:val="009A610F"/>
    <w:rsid w:val="009B1F26"/>
    <w:rsid w:val="009B21A3"/>
    <w:rsid w:val="009B7484"/>
    <w:rsid w:val="009C202E"/>
    <w:rsid w:val="009C47F3"/>
    <w:rsid w:val="009C6F40"/>
    <w:rsid w:val="009C73BA"/>
    <w:rsid w:val="009C76FB"/>
    <w:rsid w:val="009C7D5B"/>
    <w:rsid w:val="009D0872"/>
    <w:rsid w:val="009D2C0C"/>
    <w:rsid w:val="009D3A79"/>
    <w:rsid w:val="009D43CC"/>
    <w:rsid w:val="009D57F1"/>
    <w:rsid w:val="009D6079"/>
    <w:rsid w:val="009D6635"/>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7145"/>
    <w:rsid w:val="00A419E0"/>
    <w:rsid w:val="00A4472B"/>
    <w:rsid w:val="00A45E83"/>
    <w:rsid w:val="00A5492A"/>
    <w:rsid w:val="00A55818"/>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5F83"/>
    <w:rsid w:val="00B17BD1"/>
    <w:rsid w:val="00B17CE8"/>
    <w:rsid w:val="00B2317B"/>
    <w:rsid w:val="00B246A2"/>
    <w:rsid w:val="00B250CE"/>
    <w:rsid w:val="00B25506"/>
    <w:rsid w:val="00B25C87"/>
    <w:rsid w:val="00B3075A"/>
    <w:rsid w:val="00B40908"/>
    <w:rsid w:val="00B4353B"/>
    <w:rsid w:val="00B44391"/>
    <w:rsid w:val="00B5090C"/>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383B"/>
    <w:rsid w:val="00B93F4D"/>
    <w:rsid w:val="00BA31A4"/>
    <w:rsid w:val="00BA32B1"/>
    <w:rsid w:val="00BA3FB4"/>
    <w:rsid w:val="00BA4370"/>
    <w:rsid w:val="00BA501F"/>
    <w:rsid w:val="00BA65D5"/>
    <w:rsid w:val="00BA7EB8"/>
    <w:rsid w:val="00BB073F"/>
    <w:rsid w:val="00BB1263"/>
    <w:rsid w:val="00BB254A"/>
    <w:rsid w:val="00BB3571"/>
    <w:rsid w:val="00BB5FCB"/>
    <w:rsid w:val="00BB6FE1"/>
    <w:rsid w:val="00BC4182"/>
    <w:rsid w:val="00BC4431"/>
    <w:rsid w:val="00BC5DAC"/>
    <w:rsid w:val="00BC65DF"/>
    <w:rsid w:val="00BD097E"/>
    <w:rsid w:val="00BD264C"/>
    <w:rsid w:val="00BD2B02"/>
    <w:rsid w:val="00BD3EFE"/>
    <w:rsid w:val="00BD43FC"/>
    <w:rsid w:val="00BD482C"/>
    <w:rsid w:val="00BE4751"/>
    <w:rsid w:val="00BF0A97"/>
    <w:rsid w:val="00BF37B8"/>
    <w:rsid w:val="00BF3D8D"/>
    <w:rsid w:val="00BF784C"/>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3264"/>
    <w:rsid w:val="00CD3394"/>
    <w:rsid w:val="00CD365F"/>
    <w:rsid w:val="00CD6453"/>
    <w:rsid w:val="00CD64BD"/>
    <w:rsid w:val="00CD790F"/>
    <w:rsid w:val="00CE3FF5"/>
    <w:rsid w:val="00CF06AA"/>
    <w:rsid w:val="00CF179C"/>
    <w:rsid w:val="00CF6112"/>
    <w:rsid w:val="00CF618C"/>
    <w:rsid w:val="00CF7820"/>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50A44"/>
    <w:rsid w:val="00D51E84"/>
    <w:rsid w:val="00D60485"/>
    <w:rsid w:val="00D606A7"/>
    <w:rsid w:val="00D618E9"/>
    <w:rsid w:val="00D637D0"/>
    <w:rsid w:val="00D660C6"/>
    <w:rsid w:val="00D737CB"/>
    <w:rsid w:val="00D837B4"/>
    <w:rsid w:val="00D83D87"/>
    <w:rsid w:val="00D85893"/>
    <w:rsid w:val="00D85E16"/>
    <w:rsid w:val="00D91101"/>
    <w:rsid w:val="00D91D63"/>
    <w:rsid w:val="00D94D96"/>
    <w:rsid w:val="00D96F31"/>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77BF"/>
    <w:rsid w:val="00E03D93"/>
    <w:rsid w:val="00E043B2"/>
    <w:rsid w:val="00E06FEC"/>
    <w:rsid w:val="00E17FCE"/>
    <w:rsid w:val="00E24CD0"/>
    <w:rsid w:val="00E25A5A"/>
    <w:rsid w:val="00E2725E"/>
    <w:rsid w:val="00E3039D"/>
    <w:rsid w:val="00E3079A"/>
    <w:rsid w:val="00E31A55"/>
    <w:rsid w:val="00E31D80"/>
    <w:rsid w:val="00E32616"/>
    <w:rsid w:val="00E354AA"/>
    <w:rsid w:val="00E371A5"/>
    <w:rsid w:val="00E401DA"/>
    <w:rsid w:val="00E42D36"/>
    <w:rsid w:val="00E4748F"/>
    <w:rsid w:val="00E47B7A"/>
    <w:rsid w:val="00E50DEB"/>
    <w:rsid w:val="00E51B55"/>
    <w:rsid w:val="00E5446E"/>
    <w:rsid w:val="00E55249"/>
    <w:rsid w:val="00E62C82"/>
    <w:rsid w:val="00E6538F"/>
    <w:rsid w:val="00E705A4"/>
    <w:rsid w:val="00E71D50"/>
    <w:rsid w:val="00E71EBC"/>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C5D10"/>
    <w:rsid w:val="00EE1069"/>
    <w:rsid w:val="00EE1853"/>
    <w:rsid w:val="00EE3551"/>
    <w:rsid w:val="00EE5300"/>
    <w:rsid w:val="00EE7848"/>
    <w:rsid w:val="00EF5E9C"/>
    <w:rsid w:val="00EF78D0"/>
    <w:rsid w:val="00F04430"/>
    <w:rsid w:val="00F04717"/>
    <w:rsid w:val="00F04D1D"/>
    <w:rsid w:val="00F056AA"/>
    <w:rsid w:val="00F1225D"/>
    <w:rsid w:val="00F1374D"/>
    <w:rsid w:val="00F159AC"/>
    <w:rsid w:val="00F164D9"/>
    <w:rsid w:val="00F16CC9"/>
    <w:rsid w:val="00F2034D"/>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30AA"/>
    <w:rsid w:val="00F87F50"/>
    <w:rsid w:val="00F906F1"/>
    <w:rsid w:val="00F973B5"/>
    <w:rsid w:val="00F97998"/>
    <w:rsid w:val="00FA0544"/>
    <w:rsid w:val="00FA1EA8"/>
    <w:rsid w:val="00FA2430"/>
    <w:rsid w:val="00FA3A09"/>
    <w:rsid w:val="00FA461D"/>
    <w:rsid w:val="00FA535F"/>
    <w:rsid w:val="00FA6CC1"/>
    <w:rsid w:val="00FB1951"/>
    <w:rsid w:val="00FB23A4"/>
    <w:rsid w:val="00FB352F"/>
    <w:rsid w:val="00FB67D5"/>
    <w:rsid w:val="00FB69B1"/>
    <w:rsid w:val="00FC1B23"/>
    <w:rsid w:val="00FC2941"/>
    <w:rsid w:val="00FC33B9"/>
    <w:rsid w:val="00FC4EDA"/>
    <w:rsid w:val="00FC51F3"/>
    <w:rsid w:val="00FC7930"/>
    <w:rsid w:val="00FD28E2"/>
    <w:rsid w:val="00FD3CC6"/>
    <w:rsid w:val="00FD7023"/>
    <w:rsid w:val="00FE18ED"/>
    <w:rsid w:val="00FE4258"/>
    <w:rsid w:val="00FE5F4F"/>
    <w:rsid w:val="00FE620A"/>
    <w:rsid w:val="00FE6D34"/>
    <w:rsid w:val="00FF04CF"/>
    <w:rsid w:val="00FF0801"/>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hyperlink" Target="https://ezp.lib.unimelb.edu.au/login?url=http://ovidsp.ovid.com/ovidweb.cgi?T=JS&amp;CSC=Y&amp;NEWS=N&amp;PAGE=fulltext&amp;D=psyc1&amp;AN=1964-09448-001"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 TargetMode="External"/><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86008-C1D8-41A0-B072-DC02DBB9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25</Pages>
  <Words>13887</Words>
  <Characters>79156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281</cp:revision>
  <cp:lastPrinted>2019-04-06T23:33:00Z</cp:lastPrinted>
  <dcterms:created xsi:type="dcterms:W3CDTF">2019-04-05T21:56:00Z</dcterms:created>
  <dcterms:modified xsi:type="dcterms:W3CDTF">2019-07-10T12:12:00Z</dcterms:modified>
</cp:coreProperties>
</file>