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A92C3" w14:textId="77777777" w:rsidR="003118A9" w:rsidRDefault="00000000" w:rsidP="00F605C3">
      <w:pPr>
        <w:spacing w:after="180" w:line="360" w:lineRule="auto"/>
        <w:jc w:val="center"/>
      </w:pPr>
      <w:r>
        <w:rPr>
          <w:b/>
          <w:bCs/>
          <w:sz w:val="28"/>
          <w:szCs w:val="28"/>
        </w:rPr>
        <w:t>Documento de avance de PIENSA</w:t>
      </w:r>
    </w:p>
    <w:p w14:paraId="3A4D2260" w14:textId="77777777" w:rsidR="003118A9" w:rsidRPr="00F605C3" w:rsidRDefault="00000000" w:rsidP="00F605C3">
      <w:pPr>
        <w:spacing w:after="80" w:line="360" w:lineRule="auto"/>
        <w:jc w:val="center"/>
      </w:pPr>
      <w:r w:rsidRPr="00F605C3">
        <w:t>Objeto de estudio: Gamificación en la educación financiera</w:t>
      </w:r>
    </w:p>
    <w:p w14:paraId="7D3533AB" w14:textId="1198C914" w:rsidR="00F605C3" w:rsidRPr="00F605C3" w:rsidRDefault="00F605C3" w:rsidP="00F605C3">
      <w:pPr>
        <w:spacing w:after="240" w:line="360" w:lineRule="auto"/>
        <w:jc w:val="center"/>
        <w:rPr>
          <w:b/>
          <w:bCs/>
        </w:rPr>
      </w:pPr>
      <w:r w:rsidRPr="00F605C3">
        <w:rPr>
          <w:b/>
          <w:bCs/>
          <w:i/>
          <w:iCs/>
        </w:rPr>
        <w:t>Integrantes: Jonnathan Villa, Felipe Molina</w:t>
      </w:r>
    </w:p>
    <w:p w14:paraId="1345F72F" w14:textId="77777777" w:rsidR="003118A9" w:rsidRDefault="00000000" w:rsidP="00F605C3">
      <w:pPr>
        <w:spacing w:before="260" w:after="120" w:line="360" w:lineRule="auto"/>
      </w:pPr>
      <w:r>
        <w:rPr>
          <w:b/>
          <w:bCs/>
          <w:sz w:val="26"/>
          <w:szCs w:val="26"/>
        </w:rPr>
        <w:t>Marco teórico</w:t>
      </w:r>
    </w:p>
    <w:p w14:paraId="7E288A68" w14:textId="2DB12D49" w:rsidR="003118A9" w:rsidRDefault="00000000" w:rsidP="00F605C3">
      <w:pPr>
        <w:spacing w:after="160" w:line="360" w:lineRule="auto"/>
        <w:ind w:firstLine="720"/>
        <w:jc w:val="both"/>
      </w:pPr>
      <w:r>
        <w:t>La gamificación se define como la aplicación de elementos propios de los juegos puntos, insignias, tablas de clasificación y retroalimentación inmediat</w:t>
      </w:r>
      <w:r w:rsidR="00F605C3">
        <w:t xml:space="preserve">a </w:t>
      </w:r>
      <w:r>
        <w:t>en contextos ajenos al juego con el propósito de motivar comportamientos deseados y aumentar la participación de los usuarios (Deterding et al., 2011). Desde esa base, Kapp (2012) amplía el concepto al campo educativo y sostiene que incorporar mecánicas lúdicas en entornos de aprendizaje no solo incrementa el compromiso del estudiante, sino que también favorece la retención de conocimiento a largo plazo al generar experiencias emocionalmente significativas.</w:t>
      </w:r>
    </w:p>
    <w:p w14:paraId="7452AACB" w14:textId="4012CB97" w:rsidR="003118A9" w:rsidRDefault="00000000" w:rsidP="00F605C3">
      <w:pPr>
        <w:spacing w:after="160" w:line="360" w:lineRule="auto"/>
        <w:ind w:firstLine="720"/>
        <w:jc w:val="both"/>
      </w:pPr>
      <w:r>
        <w:t>La alfabetización financiera, por su parte, se entiende como el conjunto de conocimientos, habilidades y actitudes que permiten a una persona tomar decisiones económicas informadas a lo largo de su vida (OCDE, 2020). Lusardi y Mitchell (2014) documentaron que un nivel bajo de alfabetización financiera se asocia directamente con decisiones de endeudamiento inadecuadas, escaso ahorro para la jubilación y mayor vulnerabilidad ante crisis económicas. En ese sentido, ambas variables competencia financiera y bienestar persona</w:t>
      </w:r>
      <w:r w:rsidR="00F605C3">
        <w:t xml:space="preserve">l </w:t>
      </w:r>
      <w:r>
        <w:t>están estrechamente ligadas.</w:t>
      </w:r>
    </w:p>
    <w:p w14:paraId="226F270F" w14:textId="5D8261F3" w:rsidR="003118A9" w:rsidRDefault="00000000" w:rsidP="00F605C3">
      <w:pPr>
        <w:spacing w:after="160" w:line="360" w:lineRule="auto"/>
        <w:ind w:firstLine="720"/>
        <w:jc w:val="both"/>
      </w:pPr>
      <w:r>
        <w:t>Hamari et al. (2014) analizaron 24 estudios empíricos sobre gamificación y encontraron que, en la mayoría de los casos, las mecánicas de juego producen efectos positivos sobre la motivación y el disfrute de la tarea, aunque su impacto real depende del contexto de implementación y del diseño instruccional. En el campo financiero específico, Hung et al. (2021) comprobaron que los jóvenes que usaron aplicaciones móviles con elementos gamificados para aprender sobre ahorro e inversión mostraron mejoras significativas en sus actitudes financieras respecto a grupos de control.</w:t>
      </w:r>
    </w:p>
    <w:p w14:paraId="5A0DD998" w14:textId="6DF485FC" w:rsidR="003118A9" w:rsidRDefault="00000000" w:rsidP="00F605C3">
      <w:pPr>
        <w:spacing w:after="160" w:line="360" w:lineRule="auto"/>
        <w:ind w:firstLine="720"/>
        <w:jc w:val="both"/>
      </w:pPr>
      <w:r>
        <w:t xml:space="preserve">Más recientemente, Chen y </w:t>
      </w:r>
      <w:proofErr w:type="spellStart"/>
      <w:r>
        <w:t>Kuo</w:t>
      </w:r>
      <w:proofErr w:type="spellEnd"/>
      <w:r>
        <w:t xml:space="preserve"> (2019) demostraron que el uso de simuladores financieros integrados en aplicaciones web, combinados con un sistema de progresión por niveles, eleva el tiempo efectivo de práctica y mejora la comprensión de conceptos como presupuesto, ahorro y deuda en usuarios jóvenes.</w:t>
      </w:r>
    </w:p>
    <w:p w14:paraId="60619095" w14:textId="77777777" w:rsidR="003118A9" w:rsidRDefault="00000000" w:rsidP="00F605C3">
      <w:pPr>
        <w:spacing w:before="260" w:after="120" w:line="360" w:lineRule="auto"/>
      </w:pPr>
      <w:r>
        <w:rPr>
          <w:b/>
          <w:bCs/>
          <w:sz w:val="26"/>
          <w:szCs w:val="26"/>
        </w:rPr>
        <w:lastRenderedPageBreak/>
        <w:t>Problemática</w:t>
      </w:r>
    </w:p>
    <w:p w14:paraId="19F48158" w14:textId="77777777" w:rsidR="003118A9" w:rsidRDefault="00000000" w:rsidP="00F605C3">
      <w:pPr>
        <w:spacing w:after="160" w:line="360" w:lineRule="auto"/>
        <w:ind w:firstLine="720"/>
        <w:jc w:val="both"/>
      </w:pPr>
      <w:r>
        <w:t>Alcanzar poblaciones financieramente competentes es una meta reconocida a nivel global. La OCDE (2020) y el Banco Mundial (2022) identifican la alfabetización financiera como un factor determinante para reducir la pobreza, fomentar el ahorro y garantizar la estabilidad económica de los hogares. Organismos como CAF (2019) han señalado que fortalecer las competencias financieras desde etapas tempranas es una inversión de alto retorno tanto para los individuos como para la sociedad en su conjunto.</w:t>
      </w:r>
    </w:p>
    <w:p w14:paraId="5412BEF2" w14:textId="77777777" w:rsidR="003118A9" w:rsidRDefault="00000000" w:rsidP="00F605C3">
      <w:pPr>
        <w:spacing w:after="160" w:line="360" w:lineRule="auto"/>
        <w:ind w:firstLine="720"/>
        <w:jc w:val="both"/>
      </w:pPr>
      <w:r>
        <w:t>Sin embargo, los niveles de educación financiera en América Latina siguen siendo bajos. Según la encuesta global de S&amp;P Ratings Services (Klapper et al., 2015), solo el 28 % de los adultos latinoamericanos puede considerarse financieramente alfabetizado, cifra que contrasta con el 55 % promedio de los países de la OCDE. En Ecuador, la situación es especialmente preocupante entre los jóvenes de 18 a 25 años: el CAF (2019) reportó que más del 60 % de este grupo no tiene claridad sobre conceptos básicos como interés compuesto, presupuesto personal o diversificación del riesgo. Las causas son múltiples: los contenidos financieros están prácticamente ausentes del currículo escolar y universitario, los métodos de enseñanza tradicionales resultan poco atractivos para generaciones acostumbradas a entornos digitales, y el acceso a herramientas prácticas es limitado. Las consecuencias se traducen en endeudamiento temprano, uso inapropiado del crédito, nulo hábito de ahorro y escasa participación en mercados de inversión.</w:t>
      </w:r>
    </w:p>
    <w:p w14:paraId="6E3429AC" w14:textId="77777777" w:rsidR="003118A9" w:rsidRDefault="00000000" w:rsidP="00F605C3">
      <w:pPr>
        <w:spacing w:after="160" w:line="360" w:lineRule="auto"/>
        <w:ind w:firstLine="720"/>
        <w:jc w:val="both"/>
      </w:pPr>
      <w:r>
        <w:t>A nivel local, en Ecuador no existe hasta la fecha una plataforma digital orientada a jóvenes que combine educación financiera con elementos de gamificación de manera integrada. Las pocas iniciativas existentes son esporádicas, desconectadas del contexto cultural del país y no ofrecen simulación de escenarios económicos reales. Esta brecha representa una oportunidad concreta para el desarrollo tecnológico aplicado.</w:t>
      </w:r>
    </w:p>
    <w:p w14:paraId="54E3C9D8" w14:textId="48F56DD0" w:rsidR="003118A9" w:rsidRDefault="00000000" w:rsidP="00F605C3">
      <w:pPr>
        <w:spacing w:after="160" w:line="360" w:lineRule="auto"/>
        <w:ind w:firstLine="720"/>
        <w:jc w:val="both"/>
      </w:pPr>
      <w:r>
        <w:t xml:space="preserve">Frente a este panorama, se propone el desarrollo de </w:t>
      </w:r>
      <w:proofErr w:type="spellStart"/>
      <w:r>
        <w:rPr>
          <w:b/>
          <w:bCs/>
        </w:rPr>
        <w:t>FinanzaViva</w:t>
      </w:r>
      <w:proofErr w:type="spellEnd"/>
      <w:r>
        <w:t xml:space="preserve">, una aplicación web </w:t>
      </w:r>
      <w:proofErr w:type="spellStart"/>
      <w:r>
        <w:t>gamificada</w:t>
      </w:r>
      <w:proofErr w:type="spellEnd"/>
      <w:r>
        <w:t xml:space="preserve"> que combina un tablero de juego estilo </w:t>
      </w:r>
      <w:proofErr w:type="spellStart"/>
      <w:r>
        <w:t>Monopoly</w:t>
      </w:r>
      <w:proofErr w:type="spellEnd"/>
      <w:r>
        <w:t xml:space="preserve">, una academia de </w:t>
      </w:r>
      <w:proofErr w:type="spellStart"/>
      <w:r>
        <w:t>quizzes</w:t>
      </w:r>
      <w:proofErr w:type="spellEnd"/>
      <w:r>
        <w:t xml:space="preserve"> financieros, un gestor de finanzas personales y un sistema de progresión por niveles y logros. El objetivo es convertir el aprendizaje financiero en una experiencia interactiva que motive a los jóvenes a adquirir competencias económicas de forma sostenida.</w:t>
      </w:r>
    </w:p>
    <w:p w14:paraId="1963F666" w14:textId="77777777" w:rsidR="00F605C3" w:rsidRDefault="00F605C3" w:rsidP="00F605C3">
      <w:pPr>
        <w:spacing w:after="160" w:line="360" w:lineRule="auto"/>
        <w:ind w:firstLine="720"/>
        <w:jc w:val="both"/>
      </w:pPr>
    </w:p>
    <w:p w14:paraId="41C35642" w14:textId="77777777" w:rsidR="003118A9" w:rsidRDefault="00000000" w:rsidP="00F605C3">
      <w:pPr>
        <w:spacing w:before="260" w:after="120" w:line="360" w:lineRule="auto"/>
      </w:pPr>
      <w:r>
        <w:rPr>
          <w:b/>
          <w:bCs/>
          <w:sz w:val="26"/>
          <w:szCs w:val="26"/>
        </w:rPr>
        <w:lastRenderedPageBreak/>
        <w:t>Estado del arte</w:t>
      </w:r>
    </w:p>
    <w:p w14:paraId="7DD1064D" w14:textId="77777777" w:rsidR="003118A9" w:rsidRDefault="00000000" w:rsidP="00F605C3">
      <w:pPr>
        <w:spacing w:after="160" w:line="360" w:lineRule="auto"/>
        <w:ind w:firstLine="720"/>
        <w:jc w:val="both"/>
      </w:pPr>
      <w:r>
        <w:t>Hung et al. (2021) identificaron que los jóvenes presentaban baja motivación para completar módulos de educación financiera en plataformas tradicionales de e-learning, lo que resultaba en tasas de abandono superiores al 70 %. Su propuesta fue el desarrollo de una aplicación móvil que incorpora puntos, misiones y retroalimentación inmediata para el aprendizaje de conceptos de ahorro e inversión. Los resultados mostraron un incremento del 42 % en la tasa de finalización de los módulos respecto a la versión sin gamificación.</w:t>
      </w:r>
    </w:p>
    <w:p w14:paraId="56EBC07E" w14:textId="77777777" w:rsidR="003118A9" w:rsidRDefault="00000000" w:rsidP="00F605C3">
      <w:pPr>
        <w:spacing w:after="160" w:line="360" w:lineRule="auto"/>
        <w:ind w:firstLine="720"/>
        <w:jc w:val="both"/>
      </w:pPr>
      <w:r>
        <w:t xml:space="preserve">Chen y </w:t>
      </w:r>
      <w:proofErr w:type="spellStart"/>
      <w:r>
        <w:t>Kuo</w:t>
      </w:r>
      <w:proofErr w:type="spellEnd"/>
      <w:r>
        <w:t xml:space="preserve"> (2019) abordaron el problema de la escasa retención de conocimientos financieros en estudiantes universitarios tras cursos convencionales. Como solución implementaron un simulador de mercado de valores con mecánicas de competencia entre pares y sistema de recompensas virtuales. La evaluación pre y post intervención reveló que los estudiantes del grupo experimental mejoraron su puntuación en pruebas de competencia financiera en un 35 % más que los del grupo control, y reportaron mayor confianza para tomar decisiones de inversión.</w:t>
      </w:r>
    </w:p>
    <w:p w14:paraId="2D4479D1" w14:textId="77777777" w:rsidR="003118A9" w:rsidRDefault="00000000" w:rsidP="00F605C3">
      <w:pPr>
        <w:spacing w:after="160" w:line="360" w:lineRule="auto"/>
        <w:ind w:firstLine="720"/>
        <w:jc w:val="both"/>
      </w:pPr>
      <w:r>
        <w:t xml:space="preserve">Hamari et al. (2014) realizaron una revisión sistemática de 24 estudios empíricos sobre gamificación en distintos contextos educativos. Sus hallazgos confirmaron que los elementos de juego producen efectos positivos consistentes sobre el disfrute y la motivación intrínseca, aunque la magnitud del efecto varía según la calidad del diseño instruccional y el perfil del usuario. Los autores recomiendan que las aplicaciones </w:t>
      </w:r>
      <w:proofErr w:type="spellStart"/>
      <w:r>
        <w:t>gamificadas</w:t>
      </w:r>
      <w:proofErr w:type="spellEnd"/>
      <w:r>
        <w:t xml:space="preserve"> incluyan narrativa, progresión visible y componentes sociales para maximizar su impacto en el aprendizaje.</w:t>
      </w:r>
    </w:p>
    <w:p w14:paraId="37020AD0" w14:textId="2AF06E3D" w:rsidR="003118A9" w:rsidRDefault="00000000" w:rsidP="00F605C3">
      <w:pPr>
        <w:spacing w:after="160" w:line="360" w:lineRule="auto"/>
        <w:ind w:firstLine="720"/>
        <w:jc w:val="both"/>
      </w:pPr>
      <w:proofErr w:type="spellStart"/>
      <w:r>
        <w:t>Zainuddin</w:t>
      </w:r>
      <w:proofErr w:type="spellEnd"/>
      <w:r>
        <w:t xml:space="preserve"> et al. (2020) evaluaron el uso de la plataforma </w:t>
      </w:r>
      <w:proofErr w:type="spellStart"/>
      <w:r>
        <w:t>Kahoot</w:t>
      </w:r>
      <w:proofErr w:type="spellEnd"/>
      <w:r>
        <w:t xml:space="preserve">! combinada con actividades de simulación financiera en un grupo de estudiantes de secundaria. Concluyeron que la combinación de competencia lúdica, </w:t>
      </w:r>
      <w:proofErr w:type="spellStart"/>
      <w:r>
        <w:t>feedback</w:t>
      </w:r>
      <w:proofErr w:type="spellEnd"/>
      <w:r>
        <w:t xml:space="preserve"> inmediato y recompensas incrementales no solo mejora el rendimiento académico en temas de finanzas personales, sino que también desarrolla habilidades de toma de decisiones bajo presión, una competencia directamente transferible al manejo real del dinero.</w:t>
      </w:r>
    </w:p>
    <w:sectPr w:rsidR="003118A9" w:rsidSect="00F605C3">
      <w:pgSz w:w="12240" w:h="15840"/>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D434A"/>
    <w:multiLevelType w:val="hybridMultilevel"/>
    <w:tmpl w:val="61F203E2"/>
    <w:lvl w:ilvl="0" w:tplc="5F7EFA46">
      <w:start w:val="1"/>
      <w:numFmt w:val="bullet"/>
      <w:lvlText w:val="●"/>
      <w:lvlJc w:val="left"/>
      <w:pPr>
        <w:ind w:left="720" w:hanging="360"/>
      </w:pPr>
    </w:lvl>
    <w:lvl w:ilvl="1" w:tplc="EF66DD92">
      <w:start w:val="1"/>
      <w:numFmt w:val="bullet"/>
      <w:lvlText w:val="○"/>
      <w:lvlJc w:val="left"/>
      <w:pPr>
        <w:ind w:left="1440" w:hanging="360"/>
      </w:pPr>
    </w:lvl>
    <w:lvl w:ilvl="2" w:tplc="A458558C">
      <w:start w:val="1"/>
      <w:numFmt w:val="bullet"/>
      <w:lvlText w:val="■"/>
      <w:lvlJc w:val="left"/>
      <w:pPr>
        <w:ind w:left="2160" w:hanging="360"/>
      </w:pPr>
    </w:lvl>
    <w:lvl w:ilvl="3" w:tplc="413CED4C">
      <w:start w:val="1"/>
      <w:numFmt w:val="bullet"/>
      <w:lvlText w:val="●"/>
      <w:lvlJc w:val="left"/>
      <w:pPr>
        <w:ind w:left="2880" w:hanging="360"/>
      </w:pPr>
    </w:lvl>
    <w:lvl w:ilvl="4" w:tplc="073289A0">
      <w:start w:val="1"/>
      <w:numFmt w:val="bullet"/>
      <w:lvlText w:val="○"/>
      <w:lvlJc w:val="left"/>
      <w:pPr>
        <w:ind w:left="3600" w:hanging="360"/>
      </w:pPr>
    </w:lvl>
    <w:lvl w:ilvl="5" w:tplc="3A66E06C">
      <w:start w:val="1"/>
      <w:numFmt w:val="bullet"/>
      <w:lvlText w:val="■"/>
      <w:lvlJc w:val="left"/>
      <w:pPr>
        <w:ind w:left="4320" w:hanging="360"/>
      </w:pPr>
    </w:lvl>
    <w:lvl w:ilvl="6" w:tplc="37CE5052">
      <w:start w:val="1"/>
      <w:numFmt w:val="bullet"/>
      <w:lvlText w:val="●"/>
      <w:lvlJc w:val="left"/>
      <w:pPr>
        <w:ind w:left="5040" w:hanging="360"/>
      </w:pPr>
    </w:lvl>
    <w:lvl w:ilvl="7" w:tplc="F0404B6E">
      <w:start w:val="1"/>
      <w:numFmt w:val="bullet"/>
      <w:lvlText w:val="●"/>
      <w:lvlJc w:val="left"/>
      <w:pPr>
        <w:ind w:left="5760" w:hanging="360"/>
      </w:pPr>
    </w:lvl>
    <w:lvl w:ilvl="8" w:tplc="1BA849BE">
      <w:start w:val="1"/>
      <w:numFmt w:val="bullet"/>
      <w:lvlText w:val="●"/>
      <w:lvlJc w:val="left"/>
      <w:pPr>
        <w:ind w:left="6480" w:hanging="360"/>
      </w:pPr>
    </w:lvl>
  </w:abstractNum>
  <w:num w:numId="1" w16cid:durableId="1325277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8A9"/>
    <w:rsid w:val="002805D6"/>
    <w:rsid w:val="003118A9"/>
    <w:rsid w:val="00F605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3404"/>
  <w15:docId w15:val="{7C5C599F-2323-4617-8CB4-C467A2C1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71E5E-5B56-4C6D-BA91-DD8699F7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1029</Words>
  <Characters>5662</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cp:lastModifiedBy>
  <cp:revision>2</cp:revision>
  <dcterms:created xsi:type="dcterms:W3CDTF">2026-04-21T23:29:00Z</dcterms:created>
  <dcterms:modified xsi:type="dcterms:W3CDTF">2026-04-22T02:22:00Z</dcterms:modified>
</cp:coreProperties>
</file>