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11ACF" w14:textId="77777777" w:rsidR="001742D5" w:rsidRDefault="001742D5">
      <w:pPr>
        <w:pStyle w:val="Author"/>
        <w:rPr>
          <w:rFonts w:ascii="Arial" w:hAnsi="Arial" w:cs="Arial"/>
          <w:sz w:val="62"/>
          <w:szCs w:val="62"/>
          <w:shd w:val="clear" w:color="auto" w:fill="FFFFFF"/>
        </w:rPr>
      </w:pPr>
      <w:r>
        <w:rPr>
          <w:rFonts w:ascii="Arial" w:hAnsi="Arial" w:cs="Arial"/>
          <w:sz w:val="62"/>
          <w:szCs w:val="62"/>
          <w:shd w:val="clear" w:color="auto" w:fill="FFFFFF"/>
        </w:rPr>
        <w:t xml:space="preserve">A TAO for Data Wrangling: </w:t>
      </w:r>
    </w:p>
    <w:p w14:paraId="07E699EB" w14:textId="2F031864" w:rsidR="001742D5" w:rsidRDefault="001742D5" w:rsidP="001742D5">
      <w:pPr>
        <w:pStyle w:val="Author"/>
        <w:rPr>
          <w:rFonts w:ascii="Arial" w:hAnsi="Arial" w:cs="Arial"/>
          <w:sz w:val="62"/>
          <w:szCs w:val="62"/>
          <w:shd w:val="clear" w:color="auto" w:fill="FFFFFF"/>
        </w:rPr>
      </w:pPr>
      <w:r>
        <w:rPr>
          <w:rFonts w:ascii="Arial" w:hAnsi="Arial" w:cs="Arial"/>
          <w:sz w:val="62"/>
          <w:szCs w:val="62"/>
          <w:shd w:val="clear" w:color="auto" w:fill="FFFFFF"/>
        </w:rPr>
        <w:t>A Practical Routine for Getting Past the ‘Janitor Work’</w:t>
      </w:r>
    </w:p>
    <w:p w14:paraId="68C629A8" w14:textId="77777777" w:rsidR="001742D5" w:rsidRPr="001742D5" w:rsidRDefault="001742D5" w:rsidP="001742D5">
      <w:pPr>
        <w:pStyle w:val="BodyText"/>
      </w:pPr>
    </w:p>
    <w:p w14:paraId="326459A3" w14:textId="4C5E2EE2" w:rsidR="00883310" w:rsidRDefault="00000000">
      <w:pPr>
        <w:pStyle w:val="Author"/>
      </w:pPr>
      <w:r w:rsidRPr="001742D5">
        <w:rPr>
          <w:b/>
          <w:bCs/>
        </w:rPr>
        <w:t>Yue Hu</w:t>
      </w:r>
      <w:r w:rsidR="001742D5" w:rsidRPr="001742D5">
        <w:rPr>
          <w:b/>
          <w:bCs/>
        </w:rPr>
        <w:t>,</w:t>
      </w:r>
      <w:r w:rsidR="001742D5" w:rsidRPr="001742D5">
        <w:t xml:space="preserve"> </w:t>
      </w:r>
      <w:r w:rsidR="001742D5" w:rsidRPr="001742D5">
        <w:rPr>
          <w:i/>
          <w:iCs/>
        </w:rPr>
        <w:t>Tsinghua University, China</w:t>
      </w:r>
    </w:p>
    <w:p w14:paraId="4ECF874C" w14:textId="20B5F0EC" w:rsidR="00883310" w:rsidRPr="001742D5" w:rsidRDefault="00000000">
      <w:pPr>
        <w:pStyle w:val="Author"/>
        <w:rPr>
          <w:b/>
          <w:bCs/>
        </w:rPr>
      </w:pPr>
      <w:r w:rsidRPr="001742D5">
        <w:rPr>
          <w:b/>
          <w:bCs/>
        </w:rPr>
        <w:t>Yuehong Cassandra Tai</w:t>
      </w:r>
      <w:r w:rsidR="001742D5">
        <w:rPr>
          <w:b/>
          <w:bCs/>
        </w:rPr>
        <w:t>,</w:t>
      </w:r>
      <w:r w:rsidR="001742D5" w:rsidRPr="001742D5">
        <w:t xml:space="preserve"> </w:t>
      </w:r>
      <w:r w:rsidR="001742D5" w:rsidRPr="001742D5">
        <w:rPr>
          <w:i/>
          <w:iCs/>
        </w:rPr>
        <w:t>Pennsylvania State University, United States</w:t>
      </w:r>
    </w:p>
    <w:p w14:paraId="0A865A96" w14:textId="61745E36" w:rsidR="00883310" w:rsidRDefault="00000000">
      <w:pPr>
        <w:pStyle w:val="Author"/>
        <w:rPr>
          <w:i/>
          <w:iCs/>
        </w:rPr>
      </w:pPr>
      <w:r w:rsidRPr="001742D5">
        <w:rPr>
          <w:b/>
          <w:bCs/>
        </w:rPr>
        <w:t>Frederick Solt</w:t>
      </w:r>
      <w:r w:rsidR="001742D5">
        <w:rPr>
          <w:b/>
          <w:bCs/>
        </w:rPr>
        <w:t xml:space="preserve">, </w:t>
      </w:r>
      <w:r w:rsidR="001742D5" w:rsidRPr="001742D5">
        <w:rPr>
          <w:i/>
          <w:iCs/>
        </w:rPr>
        <w:t>University of Iowa, United States</w:t>
      </w:r>
    </w:p>
    <w:p w14:paraId="464FDE11" w14:textId="77777777" w:rsidR="001742D5" w:rsidRDefault="001742D5" w:rsidP="001742D5">
      <w:pPr>
        <w:pStyle w:val="BodyText"/>
      </w:pPr>
    </w:p>
    <w:p w14:paraId="08A0CD65" w14:textId="70DBCADE" w:rsidR="001742D5" w:rsidRDefault="001742D5" w:rsidP="001742D5">
      <w:pPr>
        <w:pStyle w:val="BodyText"/>
      </w:pPr>
      <w:r w:rsidRPr="001742D5">
        <w:t xml:space="preserve">Yue Hu is an Associate Professor at the Department of Political Science, Tsinghua University, China. He can be reached at </w:t>
      </w:r>
      <w:hyperlink r:id="rId8" w:history="1">
        <w:r w:rsidRPr="004E6CAC">
          <w:rPr>
            <w:rStyle w:val="Hyperlink"/>
          </w:rPr>
          <w:t>yuehu@tsinghua.edu.cn</w:t>
        </w:r>
      </w:hyperlink>
      <w:r w:rsidRPr="001742D5">
        <w:t>.</w:t>
      </w:r>
    </w:p>
    <w:p w14:paraId="78421343" w14:textId="0AC9053E" w:rsidR="001742D5" w:rsidRDefault="001742D5" w:rsidP="001742D5">
      <w:pPr>
        <w:pStyle w:val="BodyText"/>
      </w:pPr>
      <w:r>
        <w:t xml:space="preserve">Yuehong Cassandra Tai </w:t>
      </w:r>
      <w:r w:rsidRPr="001742D5">
        <w:t>is an</w:t>
      </w:r>
      <w:r>
        <w:t xml:space="preserve"> Assistant Research Professor at the </w:t>
      </w:r>
      <w:r w:rsidRPr="001742D5">
        <w:t>Center for Social Data Analytics, Pennsylvania State University, USA</w:t>
      </w:r>
      <w:r>
        <w:t>. She</w:t>
      </w:r>
      <w:r w:rsidRPr="001742D5">
        <w:t xml:space="preserve"> can be reached at</w:t>
      </w:r>
      <w:r>
        <w:t xml:space="preserve"> </w:t>
      </w:r>
      <w:hyperlink r:id="rId9" w:history="1">
        <w:r w:rsidRPr="004E6CAC">
          <w:rPr>
            <w:rStyle w:val="Hyperlink"/>
          </w:rPr>
          <w:t>yhcasstai@psu.edu</w:t>
        </w:r>
      </w:hyperlink>
      <w:r>
        <w:t xml:space="preserve">. </w:t>
      </w:r>
    </w:p>
    <w:p w14:paraId="0B40A035" w14:textId="51F402D9" w:rsidR="001742D5" w:rsidRPr="001742D5" w:rsidRDefault="001742D5" w:rsidP="001742D5">
      <w:pPr>
        <w:pStyle w:val="BodyText"/>
      </w:pPr>
      <w:r>
        <w:t xml:space="preserve">Frederick Solt is a Professor at the </w:t>
      </w:r>
      <w:r w:rsidRPr="001742D5">
        <w:t>Department of Political Science, University of Iowa</w:t>
      </w:r>
      <w:r>
        <w:t>, United States. He</w:t>
      </w:r>
      <w:r w:rsidRPr="001742D5">
        <w:t xml:space="preserve"> can be reached at</w:t>
      </w:r>
      <w:r>
        <w:t xml:space="preserve"> </w:t>
      </w:r>
      <w:hyperlink r:id="rId10" w:history="1">
        <w:r w:rsidRPr="004E6CAC">
          <w:rPr>
            <w:rStyle w:val="Hyperlink"/>
          </w:rPr>
          <w:t>frederick-solt@uiowa.edu</w:t>
        </w:r>
      </w:hyperlink>
      <w:r>
        <w:t xml:space="preserve">. </w:t>
      </w:r>
    </w:p>
    <w:p w14:paraId="5F4DD627" w14:textId="77777777" w:rsidR="00883310" w:rsidRDefault="00000000">
      <w:r>
        <w:br w:type="page"/>
      </w:r>
    </w:p>
    <w:p w14:paraId="481D6FB5" w14:textId="77777777" w:rsidR="00883310" w:rsidRDefault="00000000">
      <w:pPr>
        <w:pStyle w:val="Heading1"/>
      </w:pPr>
      <w:bookmarkStart w:id="0" w:name="X0e99a11e40baeb0ec248a693e8b30e70a2f374d"/>
      <w:r>
        <w:lastRenderedPageBreak/>
        <w:t>1. The Issue of Wrangling in Data Harmonization</w:t>
      </w:r>
    </w:p>
    <w:p w14:paraId="2C534EEB" w14:textId="1C799799" w:rsidR="00883310" w:rsidRDefault="00000000">
      <w:pPr>
        <w:pStyle w:val="FirstParagraph"/>
      </w:pPr>
      <w:r>
        <w:t xml:space="preserve">Empowered by the spreading internet and advancing computational power, researchers have entered an unprecedented age of data availability. A growing volume of social science research aims to benefit </w:t>
      </w:r>
      <w:r w:rsidR="00CC1DA5">
        <w:t>from</w:t>
      </w:r>
      <w:r>
        <w:t xml:space="preserve"> employing large quantities of data drawn from different sources (</w:t>
      </w:r>
      <w:hyperlink w:anchor="ref-ChengEtAl2024">
        <w:r w:rsidR="00883310">
          <w:rPr>
            <w:rStyle w:val="Hyperlink"/>
          </w:rPr>
          <w:t>Cheng et al. 2024</w:t>
        </w:r>
      </w:hyperlink>
      <w:r>
        <w:t xml:space="preserve">; </w:t>
      </w:r>
      <w:hyperlink w:anchor="ref-KizilovaEtAl2024">
        <w:r w:rsidR="00883310">
          <w:rPr>
            <w:rStyle w:val="Hyperlink"/>
          </w:rPr>
          <w:t>Kizilova et al. 2024</w:t>
        </w:r>
      </w:hyperlink>
      <w:r>
        <w:t xml:space="preserve">; </w:t>
      </w:r>
      <w:hyperlink w:anchor="ref-RugglesEtAl2024">
        <w:r w:rsidR="00883310">
          <w:rPr>
            <w:rStyle w:val="Hyperlink"/>
          </w:rPr>
          <w:t>Ruggles, Cleveland, and Sobek 2024</w:t>
        </w:r>
      </w:hyperlink>
      <w:r>
        <w:t xml:space="preserve">; </w:t>
      </w:r>
      <w:hyperlink w:anchor="ref-WysmulekEtAl2022">
        <w:r w:rsidR="00883310">
          <w:rPr>
            <w:rStyle w:val="Hyperlink"/>
          </w:rPr>
          <w:t>Wysmułek, Tomescu-Dubrow, and Kwak 2022</w:t>
        </w:r>
      </w:hyperlink>
      <w:r>
        <w:t>). However, significant challenges remain in ensuring the quality of harmonized datasets, especially when it comes to evaluating whether the data are fit for their intended use and systematically monitoring the quality of the raw inputs (</w:t>
      </w:r>
      <w:hyperlink w:anchor="ref-DubrowTomescu-Dubrow2016">
        <w:r w:rsidR="00883310">
          <w:rPr>
            <w:rStyle w:val="Hyperlink"/>
          </w:rPr>
          <w:t>Dubrow and Tomescu-Dubrow 2016</w:t>
        </w:r>
      </w:hyperlink>
      <w:r>
        <w:t>;</w:t>
      </w:r>
      <w:r w:rsidR="00C95BBB" w:rsidRPr="00C95BBB">
        <w:t xml:space="preserve"> </w:t>
      </w:r>
      <w:proofErr w:type="spellStart"/>
      <w:r w:rsidR="00C95BBB" w:rsidRPr="00C95BBB">
        <w:t>Slomczynski</w:t>
      </w:r>
      <w:proofErr w:type="spellEnd"/>
      <w:r w:rsidR="00C95BBB" w:rsidRPr="00C95BBB">
        <w:t xml:space="preserve">, Tomescu-Dubrow, and </w:t>
      </w:r>
      <w:proofErr w:type="spellStart"/>
      <w:r w:rsidR="00C95BBB" w:rsidRPr="00C95BBB">
        <w:t>Wysmulek</w:t>
      </w:r>
      <w:proofErr w:type="spellEnd"/>
      <w:r w:rsidR="00C95BBB" w:rsidRPr="00C95BBB">
        <w:t xml:space="preserve"> 2025</w:t>
      </w:r>
      <w:r>
        <w:t>).</w:t>
      </w:r>
    </w:p>
    <w:p w14:paraId="130750E2" w14:textId="77777777" w:rsidR="00883310" w:rsidRDefault="00000000">
      <w:pPr>
        <w:pStyle w:val="BodyText"/>
      </w:pPr>
      <w:r>
        <w:t>The wrangling step is critical for data quality in harmonization, especially given the growing volume and diversity of sources and the need for transparent, well-documented cleaning (</w:t>
      </w:r>
      <w:hyperlink w:anchor="ref-Kolczynska2022">
        <w:r w:rsidR="00883310">
          <w:rPr>
            <w:rStyle w:val="Hyperlink"/>
          </w:rPr>
          <w:t>Kołczyńska 2022</w:t>
        </w:r>
      </w:hyperlink>
      <w:r>
        <w:t xml:space="preserve">). The conventional approach notoriously relies on extensive manual work on indicator identification, data merging, and scaling (see, e.g., </w:t>
      </w:r>
      <w:hyperlink w:anchor="ref-Lohr2014">
        <w:r w:rsidR="00883310">
          <w:rPr>
            <w:rStyle w:val="Hyperlink"/>
          </w:rPr>
          <w:t>Lohr 2014</w:t>
        </w:r>
      </w:hyperlink>
      <w:r>
        <w:t>). Manual wrangling undermines transparency and makes full reproducibility of the research pipeline more difficult to achieve (</w:t>
      </w:r>
      <w:hyperlink w:anchor="ref-Liu2019">
        <w:r w:rsidR="00883310">
          <w:rPr>
            <w:rStyle w:val="Hyperlink"/>
          </w:rPr>
          <w:t>Liu and Salganik 2019</w:t>
        </w:r>
      </w:hyperlink>
      <w:r>
        <w:t>). Worse, this tiresome task makes it easy to introduce errors in the data. Finally, even meticulous documentation cannot eliminate the influence of human discretion embedded in manual processing. These discretionary decisions often leave little trace, making it challenging for collaborators or reviewers to verify the wrangling process or diagnose sources of error.</w:t>
      </w:r>
    </w:p>
    <w:p w14:paraId="1AB6BAD5" w14:textId="77777777" w:rsidR="00883310" w:rsidRDefault="00000000">
      <w:pPr>
        <w:pStyle w:val="BodyText"/>
      </w:pPr>
      <w:r>
        <w:t>In short, incomplete or inaccurate data entry, the absence of reproducibility, and unidentifiable human discretion in manual janitor work have collectively become major obstacles on the way to data harmonization, yet these challenges have received surprisingly little attention</w:t>
      </w:r>
      <w:r w:rsidRPr="002812CB">
        <w:rPr>
          <w:highlight w:val="yellow"/>
        </w:rPr>
        <w:t>. In this article, we provide a practical routine (a “TAO”) that takes advantage of automatic programming and teamwork to reduce data-entry errors and improve the reproducibility and transparency of the wrangling process for researchers and reviewers.</w:t>
      </w:r>
      <w:r>
        <w:t xml:space="preserve"> This TAO covers the three phases: data selection and collection, data entry, and what we term second-order opening—the transparent documentation of the data generation process (DGP). We illustrate how researchers can use this routine on administrative statistics and survey data with examples of two ongoing harmonization efforts, the Standardized World Income Inequality Database (SWIID) and the Dynamic Comparative Public Opinion (DCPO) project.</w:t>
      </w:r>
    </w:p>
    <w:p w14:paraId="6F2A30DA" w14:textId="77777777" w:rsidR="00883310" w:rsidRDefault="00000000">
      <w:pPr>
        <w:pStyle w:val="Heading1"/>
      </w:pPr>
      <w:bookmarkStart w:id="1" w:name="a-3-step-tao-for-data-wrangling"/>
      <w:bookmarkEnd w:id="0"/>
      <w:r>
        <w:t>2. A 3-Step “TAO” for Data Wrangling</w:t>
      </w:r>
    </w:p>
    <w:p w14:paraId="40A1133B" w14:textId="77777777" w:rsidR="00883310" w:rsidRDefault="00000000">
      <w:pPr>
        <w:pStyle w:val="FirstParagraph"/>
      </w:pPr>
      <w:r>
        <w:t>Our routine helps researchers achieve three goals:</w:t>
      </w:r>
    </w:p>
    <w:p w14:paraId="7E6B97D2" w14:textId="77777777" w:rsidR="00883310" w:rsidRDefault="00000000">
      <w:pPr>
        <w:pStyle w:val="Compact"/>
        <w:numPr>
          <w:ilvl w:val="0"/>
          <w:numId w:val="2"/>
        </w:numPr>
      </w:pPr>
      <w:r>
        <w:t>Reduce manual entry errors to improve the accuracy of both harmonized and analytic datasets.</w:t>
      </w:r>
    </w:p>
    <w:p w14:paraId="00AC47E2" w14:textId="77777777" w:rsidR="00883310" w:rsidRDefault="00000000">
      <w:pPr>
        <w:pStyle w:val="Compact"/>
        <w:numPr>
          <w:ilvl w:val="0"/>
          <w:numId w:val="2"/>
        </w:numPr>
      </w:pPr>
      <w:r>
        <w:lastRenderedPageBreak/>
        <w:t>Incorporate as much available data as possible to provide a solid foundation for constructing comparable data and increasing the generalizability of inferences.</w:t>
      </w:r>
      <w:r>
        <w:rPr>
          <w:rStyle w:val="FootnoteReference"/>
        </w:rPr>
        <w:footnoteReference w:id="1"/>
      </w:r>
    </w:p>
    <w:p w14:paraId="6C4E4E7D" w14:textId="77777777" w:rsidR="00883310" w:rsidRDefault="00000000">
      <w:pPr>
        <w:pStyle w:val="Compact"/>
        <w:numPr>
          <w:ilvl w:val="0"/>
          <w:numId w:val="2"/>
        </w:numPr>
      </w:pPr>
      <w:r>
        <w:t>Improve the reproducibility of data wrangling process to enhance transparency.</w:t>
      </w:r>
    </w:p>
    <w:p w14:paraId="132603C1" w14:textId="77777777" w:rsidR="00883310" w:rsidRDefault="00000000">
      <w:pPr>
        <w:pStyle w:val="FirstParagraph"/>
      </w:pPr>
      <w:r>
        <w:t>The routine consists of three steps:</w:t>
      </w:r>
    </w:p>
    <w:p w14:paraId="346AC92C" w14:textId="4242A56E" w:rsidR="00883310" w:rsidRDefault="00000000">
      <w:pPr>
        <w:pStyle w:val="Compact"/>
        <w:numPr>
          <w:ilvl w:val="0"/>
          <w:numId w:val="3"/>
        </w:numPr>
      </w:pPr>
      <w:r>
        <w:rPr>
          <w:b/>
          <w:bCs/>
        </w:rPr>
        <w:t>T</w:t>
      </w:r>
      <w:r>
        <w:t xml:space="preserve">eam-based </w:t>
      </w:r>
      <w:r w:rsidR="00CC1DA5">
        <w:t>construct building</w:t>
      </w:r>
      <w:r>
        <w:t xml:space="preserve"> and data </w:t>
      </w:r>
      <w:proofErr w:type="gramStart"/>
      <w:r>
        <w:t>selection;</w:t>
      </w:r>
      <w:proofErr w:type="gramEnd"/>
    </w:p>
    <w:p w14:paraId="7FB47073" w14:textId="77777777" w:rsidR="00883310" w:rsidRDefault="00000000">
      <w:pPr>
        <w:pStyle w:val="Compact"/>
        <w:numPr>
          <w:ilvl w:val="0"/>
          <w:numId w:val="3"/>
        </w:numPr>
      </w:pPr>
      <w:r>
        <w:t xml:space="preserve">Data entry </w:t>
      </w:r>
      <w:r>
        <w:rPr>
          <w:b/>
          <w:bCs/>
        </w:rPr>
        <w:t>a</w:t>
      </w:r>
      <w:r>
        <w:t>utomation; and</w:t>
      </w:r>
    </w:p>
    <w:p w14:paraId="484AF951" w14:textId="77777777" w:rsidR="00883310" w:rsidRDefault="00000000">
      <w:pPr>
        <w:pStyle w:val="Compact"/>
        <w:numPr>
          <w:ilvl w:val="0"/>
          <w:numId w:val="3"/>
        </w:numPr>
      </w:pPr>
      <w:r>
        <w:t xml:space="preserve">“Second-order” </w:t>
      </w:r>
      <w:r>
        <w:rPr>
          <w:b/>
          <w:bCs/>
        </w:rPr>
        <w:t>o</w:t>
      </w:r>
      <w:r>
        <w:t>pening.</w:t>
      </w:r>
    </w:p>
    <w:p w14:paraId="7F4B76E8" w14:textId="25915EDF" w:rsidR="00883310" w:rsidRDefault="00000000">
      <w:pPr>
        <w:pStyle w:val="FirstParagraph"/>
      </w:pPr>
      <w:r>
        <w:t>We use two data harmonization projects, SWIID and DCPO, to illustrate this routine. The SWIID is a long-running effort to provide harmonized income inequality statistics with the broadest possible country and year coverage (</w:t>
      </w:r>
      <w:r w:rsidR="00883310" w:rsidRPr="00DA35A3">
        <w:t xml:space="preserve">Solt </w:t>
      </w:r>
      <w:r w:rsidR="00883310" w:rsidRPr="00DA35A3">
        <w:t>2</w:t>
      </w:r>
      <w:r w:rsidR="00883310" w:rsidRPr="00DA35A3">
        <w:t>020</w:t>
      </w:r>
      <w:r w:rsidR="00DA35A3">
        <w:t>a</w:t>
      </w:r>
      <w:r>
        <w:t>). In its most recent update, the source data include more than 27,000 observations of the Gini coefficient for nearly 200 countries over as many as 65 years, collected from over 400 sources such as international organizations, national statistics bureaus, and academic studies.</w:t>
      </w:r>
    </w:p>
    <w:p w14:paraId="0D1DA45C" w14:textId="511E04DB" w:rsidR="00883310" w:rsidRDefault="00000000">
      <w:pPr>
        <w:pStyle w:val="BodyText"/>
      </w:pPr>
      <w:r>
        <w:t xml:space="preserve">DCPO is both a method and a database. Scholarship on comparative public opinion only rarely benefits from relevant items asked annually by the same survey in many countries (see, e.g., </w:t>
      </w:r>
      <w:hyperlink w:anchor="ref-HagemannEtAl2017">
        <w:r w:rsidR="00883310">
          <w:rPr>
            <w:rStyle w:val="Hyperlink"/>
          </w:rPr>
          <w:t>Hagemann, Hobolt, and Wratil 2017</w:t>
        </w:r>
      </w:hyperlink>
      <w:r>
        <w:t>). To address the lack of cross-national and longitudinal data on many topics, a number of works have presented latent variable models that harmonize survey items that intend to capture the identical concepts but with different question wordings or option scales (see</w:t>
      </w:r>
      <w:r w:rsidR="00CC1DA5">
        <w:t>,</w:t>
      </w:r>
      <w:r>
        <w:t xml:space="preserve"> e.g., </w:t>
      </w:r>
      <w:hyperlink w:anchor="ref-CaugheyEtAl2019">
        <w:r w:rsidR="00883310">
          <w:rPr>
            <w:rStyle w:val="Hyperlink"/>
          </w:rPr>
          <w:t>Caughey, O’Grady, and Warshaw 2019</w:t>
        </w:r>
      </w:hyperlink>
      <w:r>
        <w:t xml:space="preserve">; </w:t>
      </w:r>
      <w:hyperlink w:anchor="ref-Claassen2019">
        <w:r w:rsidR="00883310">
          <w:rPr>
            <w:rStyle w:val="Hyperlink"/>
          </w:rPr>
          <w:t>Claassen 2019</w:t>
        </w:r>
      </w:hyperlink>
      <w:r>
        <w:t>). Advancing this line of work, DCPO not only provides latent variable measurements but also automated and reproducible data collection (</w:t>
      </w:r>
      <w:r w:rsidR="00883310" w:rsidRPr="00DA35A3">
        <w:t>Solt 2020</w:t>
      </w:r>
      <w:r w:rsidR="00DA35A3">
        <w:t>b</w:t>
      </w:r>
      <w:r>
        <w:t>). DCPO has been applied in a complete pipeline for a variety of topics</w:t>
      </w:r>
      <w:r w:rsidR="000D56E1">
        <w:t>,</w:t>
      </w:r>
      <w:r>
        <w:t xml:space="preserve"> including gender egalitarianism (</w:t>
      </w:r>
      <w:hyperlink w:anchor="ref-WooEtAl2023">
        <w:r w:rsidR="00883310">
          <w:rPr>
            <w:rStyle w:val="Hyperlink"/>
          </w:rPr>
          <w:t>Woo, Goldberg, and Solt 2023</w:t>
        </w:r>
      </w:hyperlink>
      <w:r>
        <w:t>), political interest (</w:t>
      </w:r>
      <w:hyperlink w:anchor="ref-HuSolt2025">
        <w:r w:rsidR="00883310">
          <w:rPr>
            <w:rStyle w:val="Hyperlink"/>
          </w:rPr>
          <w:t>Hu and Solt 2025</w:t>
        </w:r>
      </w:hyperlink>
      <w:r>
        <w:t>), and support for gay rights (</w:t>
      </w:r>
      <w:hyperlink w:anchor="ref-WooEtAl2025">
        <w:r w:rsidR="00883310">
          <w:rPr>
            <w:rStyle w:val="Hyperlink"/>
          </w:rPr>
          <w:t>Woo et al. 2025</w:t>
        </w:r>
      </w:hyperlink>
      <w:r>
        <w:t>)</w:t>
      </w:r>
      <w:r w:rsidR="000D56E1">
        <w:t xml:space="preserve">, </w:t>
      </w:r>
      <w:r>
        <w:t xml:space="preserve">among other aspects of public opinion. The DCPO R package, documentation, and related datasets are publicly available (see the data available at </w:t>
      </w:r>
      <w:hyperlink r:id="rId11">
        <w:r w:rsidR="00883310">
          <w:rPr>
            <w:rStyle w:val="Hyperlink"/>
          </w:rPr>
          <w:t>https://dcpo.org/</w:t>
        </w:r>
      </w:hyperlink>
      <w:r>
        <w:t>).</w:t>
      </w:r>
      <w:r>
        <w:rPr>
          <w:rStyle w:val="FootnoteReference"/>
        </w:rPr>
        <w:footnoteReference w:id="2"/>
      </w:r>
    </w:p>
    <w:p w14:paraId="45371D7C" w14:textId="77777777" w:rsidR="00883310" w:rsidRDefault="00000000">
      <w:pPr>
        <w:pStyle w:val="Heading2"/>
      </w:pPr>
      <w:bookmarkStart w:id="2" w:name="Xed9d37a950d37e86a7070844a32d3efdd3b840b"/>
      <w:r>
        <w:t>2.1 Step 1: Team-Based Construct Building and Data Selection</w:t>
      </w:r>
    </w:p>
    <w:p w14:paraId="6E73037F" w14:textId="56F588FA" w:rsidR="00883310" w:rsidRDefault="00000000">
      <w:pPr>
        <w:pStyle w:val="FirstParagraph"/>
      </w:pPr>
      <w:r>
        <w:t xml:space="preserve">Large-scale data selection and cleaning is often viewed as tiresome, as something to be delegated to research assistants, to someone—indeed anyone—else. Performing these tasks manually makes it easy to make mistakes and errors. Haegemans, Snoeck, and </w:t>
      </w:r>
      <w:proofErr w:type="spellStart"/>
      <w:r>
        <w:t>Lemahieu</w:t>
      </w:r>
      <w:proofErr w:type="spellEnd"/>
      <w:r>
        <w:t xml:space="preserve"> (</w:t>
      </w:r>
      <w:hyperlink w:anchor="ref-HaegemansEtAl2019">
        <w:r w:rsidR="00883310">
          <w:rPr>
            <w:rStyle w:val="Hyperlink"/>
          </w:rPr>
          <w:t>2019, 1</w:t>
        </w:r>
      </w:hyperlink>
      <w:r>
        <w:t>) list</w:t>
      </w:r>
      <w:r w:rsidR="00CC1DA5">
        <w:t>ed</w:t>
      </w:r>
      <w:r>
        <w:t xml:space="preserve"> examples of misrouted financial transactions and airline flights. In a more systematic examination, Barchard and Pace (</w:t>
      </w:r>
      <w:hyperlink w:anchor="ref-BarchardPace2011">
        <w:r w:rsidR="00883310">
          <w:rPr>
            <w:rStyle w:val="Hyperlink"/>
          </w:rPr>
          <w:t>2011</w:t>
        </w:r>
      </w:hyperlink>
      <w:r>
        <w:t xml:space="preserve">) found that RAs assigned in an experiment to carefully enter data manually and instructed to prioritize accuracy over speed still had error rates approaching 1% in just a single roughly half-hour session. The </w:t>
      </w:r>
      <w:r>
        <w:lastRenderedPageBreak/>
        <w:t>consequences of such errors are pernicious, undermining both empirical results and confidence in the broader scientific enterprise.</w:t>
      </w:r>
    </w:p>
    <w:p w14:paraId="4D5A1D17" w14:textId="051D6E79" w:rsidR="00883310" w:rsidRDefault="00000000">
      <w:pPr>
        <w:pStyle w:val="BodyText"/>
      </w:pPr>
      <w:r>
        <w:t xml:space="preserve">Our antidote for this issue is a combination of teamwork and automation. We begin with teamwork and discuss automation in </w:t>
      </w:r>
      <w:hyperlink w:anchor="sec-automate">
        <w:r w:rsidR="00883310">
          <w:rPr>
            <w:rStyle w:val="Hyperlink"/>
          </w:rPr>
          <w:t>Section 2.2</w:t>
        </w:r>
      </w:hyperlink>
      <w:r>
        <w:t xml:space="preserve">. The goals when working as a team are to establish a shared understanding </w:t>
      </w:r>
      <w:r w:rsidR="0046092B">
        <w:t>of</w:t>
      </w:r>
      <w:r>
        <w:t xml:space="preserve"> the conceptualized construct, select valid data for later measurement and/or analyses, and reduce biases arising from inconsistent human judgment. Achieving these requires a deliberative process and a dual-entry procedure.</w:t>
      </w:r>
    </w:p>
    <w:p w14:paraId="151AE23C" w14:textId="2494B045" w:rsidR="00883310" w:rsidRDefault="00000000">
      <w:pPr>
        <w:pStyle w:val="BodyText"/>
      </w:pPr>
      <w:r>
        <w:t>A deliberative process requires all team members—whether several coauthors or a primary author with one or more RAs—to have a clear understanding of the research questions and associated data goals. This shared foundation help</w:t>
      </w:r>
      <w:r w:rsidR="00CC1DA5">
        <w:t>s</w:t>
      </w:r>
      <w:r>
        <w:t xml:space="preserve"> members identify relevant data sources and discover additional materials that are not in the initial plan.</w:t>
      </w:r>
    </w:p>
    <w:p w14:paraId="4365DA55" w14:textId="0105C4DE" w:rsidR="00883310" w:rsidRDefault="00000000">
      <w:pPr>
        <w:pStyle w:val="BodyText"/>
      </w:pPr>
      <w:r>
        <w:t xml:space="preserve">In the early years of the SWIID program, for example, RAs were instructed that the goal of the project is to generate comparable statistics of country-level economic inequality. They were provided a list of sources to start with, mainly from national </w:t>
      </w:r>
      <w:r w:rsidR="0070718D" w:rsidRPr="0070718D">
        <w:t>statistics</w:t>
      </w:r>
      <w:r>
        <w:t xml:space="preserve"> bureaus, but also told that updated statistics for some countries may come from academic papers, published documents, and other sources, and encouraged to add each of these new sources by recording a valid link.</w:t>
      </w:r>
    </w:p>
    <w:p w14:paraId="3575D41C" w14:textId="77777777" w:rsidR="00883310" w:rsidRDefault="00000000">
      <w:pPr>
        <w:pStyle w:val="BodyText"/>
      </w:pPr>
      <w:r>
        <w:t>In the DCPO project, defining and agreeing upon the latent construct is a critical first step for ensuring theoretical comparability across countries and over time (</w:t>
      </w:r>
      <w:hyperlink w:anchor="ref-Koc2025">
        <w:r w:rsidR="00883310">
          <w:rPr>
            <w:rStyle w:val="Hyperlink"/>
          </w:rPr>
          <w:t>Koc and Kołczyńska 2025</w:t>
        </w:r>
      </w:hyperlink>
      <w:r>
        <w:t xml:space="preserve">). This begins with a shared conceptual foundation established through literature review and a set of pre-defined potential dimensions. Team members are assigned survey datasets from specific geographic regions and tasked with identifying potentially relevant items and dimensions based on both general theoretical guidance and region-specific knowledge. This structure ensures that the construct is informed by both global theory and local context. (A detailed checklist is in </w:t>
      </w:r>
      <w:hyperlink w:anchor="sec-checklist">
        <w:r w:rsidR="00883310">
          <w:rPr>
            <w:rStyle w:val="Hyperlink"/>
          </w:rPr>
          <w:t>OSM 4</w:t>
        </w:r>
      </w:hyperlink>
      <w:r>
        <w:t>.)</w:t>
      </w:r>
    </w:p>
    <w:p w14:paraId="0456F8DD" w14:textId="77777777" w:rsidR="00883310" w:rsidRDefault="00000000">
      <w:pPr>
        <w:pStyle w:val="BodyText"/>
      </w:pPr>
      <w:r>
        <w:t>Before data selection begins, team members undergo hands-on training on how the method works and what types of data and metadata, such as data format and weighting variables, should be collected to support the automated data preparation process.</w:t>
      </w:r>
    </w:p>
    <w:p w14:paraId="1795DCBA" w14:textId="77777777" w:rsidR="00883310" w:rsidRDefault="00000000">
      <w:pPr>
        <w:pStyle w:val="BodyText"/>
      </w:pPr>
      <w:r>
        <w:t>Following the initial round of item selection and collection, the dual-entry section begins. In this stage, each team member reviews and re-codes the survey data originally handled by another member. The independently coded versions are compared to detect discrepancies, which may arise from misinterpretations of the construct, ambiguous item wording, or data-entry errors.</w:t>
      </w:r>
    </w:p>
    <w:p w14:paraId="6B418603" w14:textId="347C6E4A" w:rsidR="00883310" w:rsidRDefault="00000000">
      <w:pPr>
        <w:pStyle w:val="BodyText"/>
      </w:pPr>
      <w:r>
        <w:t xml:space="preserve">Disputed cases are flagged for group discussion. Some mismatches may indicate items that may not be conceptually equivalent across cultures or regions, and others may suggest multidimensionality that requires theoretical disaggregation. For the latter, we either categorize such items into pre-defined dimensions and/or revise the codebook accordingly to add new dimensions—an iterative process aimed at improving construct </w:t>
      </w:r>
      <w:r>
        <w:lastRenderedPageBreak/>
        <w:t>validity, intercoder reliability, and reducing oversimplification of the target variable (</w:t>
      </w:r>
      <w:proofErr w:type="spellStart"/>
      <w:r w:rsidR="00C95BBB" w:rsidRPr="00C95BBB">
        <w:t>Slomczynski</w:t>
      </w:r>
      <w:proofErr w:type="spellEnd"/>
      <w:r w:rsidR="00C95BBB" w:rsidRPr="00C95BBB">
        <w:t xml:space="preserve">, Tomescu-Dubrow, and </w:t>
      </w:r>
      <w:proofErr w:type="spellStart"/>
      <w:r w:rsidR="00C95BBB" w:rsidRPr="00C95BBB">
        <w:t>Wysmulek</w:t>
      </w:r>
      <w:proofErr w:type="spellEnd"/>
      <w:r w:rsidR="00C95BBB" w:rsidRPr="00C95BBB">
        <w:t xml:space="preserve"> 2025</w:t>
      </w:r>
      <w:r>
        <w:t>).</w:t>
      </w:r>
    </w:p>
    <w:p w14:paraId="4BBF1501" w14:textId="77777777" w:rsidR="00883310" w:rsidRDefault="00000000">
      <w:pPr>
        <w:pStyle w:val="BodyText"/>
      </w:pPr>
      <w:r>
        <w:t>Therefore, multiple lab meetings are held throughout the data selection phase to share insights from each member’s coding work and ensure conceptual alignment. The process concludes with a final cross-check of the selected items.</w:t>
      </w:r>
    </w:p>
    <w:p w14:paraId="7C95A133" w14:textId="77777777" w:rsidR="00883310" w:rsidRDefault="00000000">
      <w:pPr>
        <w:pStyle w:val="BodyText"/>
      </w:pPr>
      <w:r>
        <w:t>In addition to reducing manual biases, teamwork helps expand the data pool. Both SWIID and DCPO projects enrolled team members from outside the United States. These members draw on their linguistic and cultural expertise to detect additional sources in non-English languages and improve the precision of the data selection. To some extent, data from different sources helps mitigate the cultural biases embedded in survey instruments developed within particular national or linguistic contexts.</w:t>
      </w:r>
    </w:p>
    <w:p w14:paraId="13561991" w14:textId="77777777" w:rsidR="00883310" w:rsidRDefault="00000000">
      <w:pPr>
        <w:pStyle w:val="Heading2"/>
      </w:pPr>
      <w:bookmarkStart w:id="3" w:name="sec-automate"/>
      <w:bookmarkEnd w:id="2"/>
      <w:r>
        <w:t>2.2 Step 2: Data Entry Automation</w:t>
      </w:r>
    </w:p>
    <w:p w14:paraId="691F82B3" w14:textId="77777777" w:rsidR="00883310" w:rsidRDefault="00000000">
      <w:pPr>
        <w:pStyle w:val="FirstParagraph"/>
      </w:pPr>
      <w:r>
        <w:t>Putting the data into a format ready to merge is arguably the step most prone to manual errors and controversies. The best solution is to automate the entry process, taking advantage of scripting and any application programming interfaces (APIs) provided by the data source.</w:t>
      </w:r>
    </w:p>
    <w:p w14:paraId="78E6019D" w14:textId="0D05A66B" w:rsidR="00883310" w:rsidRDefault="00000000">
      <w:pPr>
        <w:pStyle w:val="BodyText"/>
      </w:pPr>
      <w:r>
        <w:t xml:space="preserve">In the case of DCPO, once the research team manually codes the question numbers of relevant items, response scales, survey weights, project names, fieldwork waves, and dates from the raw survey files and accompanying documentation, data entry can be automated through the R-based software, </w:t>
      </w:r>
      <w:proofErr w:type="spellStart"/>
      <w:r>
        <w:rPr>
          <w:rStyle w:val="VerbatimChar"/>
        </w:rPr>
        <w:t>DCPOtools</w:t>
      </w:r>
      <w:proofErr w:type="spellEnd"/>
      <w:r>
        <w:t xml:space="preserve"> (</w:t>
      </w:r>
      <w:r w:rsidR="00DA35A3" w:rsidRPr="00C95BBB">
        <w:t>Solt et al. 2019</w:t>
      </w:r>
      <w:r>
        <w:t xml:space="preserve">). This software processes raw survey files directly, ensuring reproducible data entry. It converts various file formats to R-readable objects, extracts variables of interest, applies consistent recoding and weighting, and outputs structured country-year aggregates. To enable automation, raw data are pre-processed to conform to </w:t>
      </w:r>
      <w:r>
        <w:rPr>
          <w:rStyle w:val="VerbatimChar"/>
        </w:rPr>
        <w:t>DCPOtools</w:t>
      </w:r>
      <w:r>
        <w:t>’ input format, despite inconsistencies across original sources.</w:t>
      </w:r>
      <w:r w:rsidR="0045781A">
        <w:rPr>
          <w:rStyle w:val="FootnoteReference"/>
        </w:rPr>
        <w:footnoteReference w:id="3"/>
      </w:r>
    </w:p>
    <w:p w14:paraId="2AD8D627" w14:textId="77777777" w:rsidR="00883310" w:rsidRDefault="00000000">
      <w:pPr>
        <w:pStyle w:val="BodyText"/>
      </w:pPr>
      <w:r>
        <w:t>To address theoretical comparability concerns, DCPO employs conservative filtering, removing items appearing in fewer than five country-years in countries surveyed at least three times, minimizing the risk of sacrificing comparability for coverage (</w:t>
      </w:r>
      <w:hyperlink w:anchor="ref-Koc2025">
        <w:r w:rsidR="00883310">
          <w:rPr>
            <w:rStyle w:val="Hyperlink"/>
          </w:rPr>
          <w:t>Koc and Kołczyńska 2025</w:t>
        </w:r>
      </w:hyperlink>
      <w:r>
        <w:t xml:space="preserve">). </w:t>
      </w:r>
      <w:r>
        <w:rPr>
          <w:rStyle w:val="VerbatimChar"/>
        </w:rPr>
        <w:t>DCPOtools</w:t>
      </w:r>
      <w:r>
        <w:t xml:space="preserve"> standardizes country names and ensures years reflect actual fieldwork dates, creating aggregated respondent data for the latent variable model.</w:t>
      </w:r>
    </w:p>
    <w:tbl>
      <w:tblPr>
        <w:tblStyle w:val="Table"/>
        <w:tblW w:w="5000" w:type="pct"/>
        <w:tblLayout w:type="fixed"/>
        <w:tblLook w:val="0000" w:firstRow="0" w:lastRow="0" w:firstColumn="0" w:lastColumn="0" w:noHBand="0" w:noVBand="0"/>
      </w:tblPr>
      <w:tblGrid>
        <w:gridCol w:w="9576"/>
      </w:tblGrid>
      <w:tr w:rsidR="00883310" w14:paraId="1B3BDC91" w14:textId="77777777">
        <w:tc>
          <w:tcPr>
            <w:tcW w:w="7920" w:type="dxa"/>
          </w:tcPr>
          <w:p w14:paraId="1970E632" w14:textId="4C118653" w:rsidR="00883310" w:rsidRPr="0049213B" w:rsidRDefault="0045781A" w:rsidP="0049213B">
            <w:pPr>
              <w:pStyle w:val="Compact"/>
              <w:jc w:val="center"/>
            </w:pPr>
            <w:bookmarkStart w:id="4" w:name="fig-dataMethod"/>
            <w:r w:rsidRPr="0045781A">
              <w:t xml:space="preserve">&lt;insert </w:t>
            </w:r>
            <w:r>
              <w:t>F</w:t>
            </w:r>
            <w:r w:rsidRPr="0045781A">
              <w:t xml:space="preserve">igure </w:t>
            </w:r>
            <w:r>
              <w:t xml:space="preserve">1 </w:t>
            </w:r>
            <w:r w:rsidRPr="0045781A">
              <w:t>here&gt;</w:t>
            </w:r>
          </w:p>
        </w:tc>
        <w:bookmarkEnd w:id="4"/>
      </w:tr>
    </w:tbl>
    <w:p w14:paraId="62895654" w14:textId="77777777" w:rsidR="00883310" w:rsidRDefault="00000000">
      <w:pPr>
        <w:pStyle w:val="BodyText"/>
      </w:pPr>
      <w:r>
        <w:t xml:space="preserve">While coding datasets and items into structured spreadsheets facilitates automation, an even better approach starts the automation from the data selection step via scripting and APIs. As shown in </w:t>
      </w:r>
      <w:hyperlink w:anchor="fig-dataMethod">
        <w:r w:rsidR="00883310">
          <w:rPr>
            <w:rStyle w:val="Hyperlink"/>
          </w:rPr>
          <w:t>Figure 1</w:t>
        </w:r>
      </w:hyperlink>
      <w:r>
        <w:t xml:space="preserve">, the current version of SWIID collects 76% of its raw observations through APIs. In </w:t>
      </w:r>
      <w:hyperlink w:anchor="sec-packages">
        <w:r w:rsidR="00883310">
          <w:rPr>
            <w:rStyle w:val="Hyperlink"/>
          </w:rPr>
          <w:t>OSM 5</w:t>
        </w:r>
      </w:hyperlink>
      <w:r>
        <w:t xml:space="preserve">, we provide an illustration on how R packages can assist with tasks such as collecting data via APIs and cleaning and transforming data. The </w:t>
      </w:r>
      <w:r>
        <w:lastRenderedPageBreak/>
        <w:t>list is extensive but not exhaustive. By modifying the arguments of the codes (such as the keywords used to select packages) in this article’s replication file, readers can discover more tools that are available for data collection and wrangling.</w:t>
      </w:r>
    </w:p>
    <w:p w14:paraId="49C1C26F" w14:textId="5A679FA7" w:rsidR="00883310" w:rsidRDefault="00000000">
      <w:pPr>
        <w:pStyle w:val="BodyText"/>
      </w:pPr>
      <w:r>
        <w:t xml:space="preserve">Returning to the case of the SWIID, when no API is available, the automation script downloads and reads any available spreadsheets. In the absence of a spreadsheet, the process of scraping the data, either directly from the web or, preferably, from a </w:t>
      </w:r>
      <w:r w:rsidR="00CC1DA5">
        <w:t>PDF</w:t>
      </w:r>
      <w:r>
        <w:t xml:space="preserve"> file, is automated (see </w:t>
      </w:r>
      <w:hyperlink w:anchor="ref-Sepulveda2024">
        <w:r w:rsidR="00883310">
          <w:rPr>
            <w:rStyle w:val="Hyperlink"/>
          </w:rPr>
          <w:t>Sepulveda 2024</w:t>
        </w:r>
      </w:hyperlink>
      <w:r>
        <w:t>). Together the collection of 90% of the source data is scripted.</w:t>
      </w:r>
    </w:p>
    <w:p w14:paraId="294D0813" w14:textId="31566F13" w:rsidR="00883310" w:rsidRDefault="00000000">
      <w:pPr>
        <w:pStyle w:val="BodyText"/>
      </w:pPr>
      <w:r>
        <w:t xml:space="preserve">This process substantially reduces manual entry errors, though some risks may remain, particularly when scraping from unstructured PDFs. Nevertheless, it enables efficient integration of updates and revisions whenever </w:t>
      </w:r>
      <w:r w:rsidR="000D56E1">
        <w:t xml:space="preserve">the </w:t>
      </w:r>
      <w:r>
        <w:t>data collection program is rerun.</w:t>
      </w:r>
    </w:p>
    <w:p w14:paraId="0B3B7C06" w14:textId="77777777" w:rsidR="00883310" w:rsidRDefault="00000000">
      <w:pPr>
        <w:pStyle w:val="BodyText"/>
      </w:pPr>
      <w:r>
        <w:t>Even for data sources that have to be entered by hand, such as those from academic articles or books, there is still opportunity for partial automation. For the remaining 10% of the SWIID observations, many were collected using Sepulveda’s (</w:t>
      </w:r>
      <w:hyperlink w:anchor="ref-Sepulveda2024">
        <w:r w:rsidR="00883310">
          <w:rPr>
            <w:rStyle w:val="Hyperlink"/>
          </w:rPr>
          <w:t>2024</w:t>
        </w:r>
      </w:hyperlink>
      <w:r>
        <w:t xml:space="preserve">) </w:t>
      </w:r>
      <w:r>
        <w:rPr>
          <w:rStyle w:val="VerbatimChar"/>
        </w:rPr>
        <w:t>tabulapdf</w:t>
      </w:r>
      <w:r>
        <w:t xml:space="preserve"> R package to avoid data-entry errors. Optical Character Recognition (OCR) can extend this method to hard-copy sources.</w:t>
      </w:r>
    </w:p>
    <w:p w14:paraId="0411B1B9" w14:textId="77777777" w:rsidR="00883310" w:rsidRDefault="00000000">
      <w:pPr>
        <w:pStyle w:val="BodyText"/>
      </w:pPr>
      <w:r>
        <w:t xml:space="preserve">For data that must be entered manually, teamwork is crucial. Each observation is independently entered twice into separate spreadsheets. The dual-entry process allows for automated cross-checks of the newly entered data that increase the chances of identifying and correcting errors (see </w:t>
      </w:r>
      <w:hyperlink w:anchor="ref-BarchardPace2011">
        <w:r w:rsidR="00883310">
          <w:rPr>
            <w:rStyle w:val="Hyperlink"/>
          </w:rPr>
          <w:t>Barchard and Pace 2011</w:t>
        </w:r>
      </w:hyperlink>
      <w:r>
        <w:t>).</w:t>
      </w:r>
    </w:p>
    <w:p w14:paraId="35DBBAE2" w14:textId="577B7A73" w:rsidR="00883310" w:rsidRDefault="00000000">
      <w:pPr>
        <w:pStyle w:val="BodyText"/>
      </w:pPr>
      <w:r>
        <w:t xml:space="preserve">As the final point of Step 2, the “data entry automation” step indeed minimizes but does not eliminate errors. Its effectiveness depends on the proper implementation of programming and software, both of which have inherent limitations. For example, OCR may misread characters or digits, and software bugs can affect </w:t>
      </w:r>
      <w:r w:rsidR="000D56E1">
        <w:t xml:space="preserve">the </w:t>
      </w:r>
      <w:r>
        <w:t>quality and reproducibility of the process. Human supervision and validation therefore remain crucial. Researchers are encouraged to pilot automation on a small, diverse sample and conduct spot checks to verify the quality of automated data entry.</w:t>
      </w:r>
    </w:p>
    <w:p w14:paraId="499D3E2D" w14:textId="77777777" w:rsidR="00883310" w:rsidRDefault="00000000">
      <w:pPr>
        <w:pStyle w:val="Heading2"/>
      </w:pPr>
      <w:bookmarkStart w:id="5" w:name="step-3-second-order-opening"/>
      <w:bookmarkEnd w:id="3"/>
      <w:r>
        <w:t>2.3 Step 3: “Second-Order” Opening</w:t>
      </w:r>
    </w:p>
    <w:p w14:paraId="30672887" w14:textId="77777777" w:rsidR="00883310" w:rsidRDefault="00000000">
      <w:pPr>
        <w:pStyle w:val="FirstParagraph"/>
      </w:pPr>
      <w:r>
        <w:t>Since the replication crisis, replication files for analytical results in academic articles have become a standard requirement for top-tier journals in political science (</w:t>
      </w:r>
      <w:hyperlink w:anchor="ref-ChangLi2015">
        <w:r w:rsidR="00883310">
          <w:rPr>
            <w:rStyle w:val="Hyperlink"/>
          </w:rPr>
          <w:t>Chang and Li 2015</w:t>
        </w:r>
      </w:hyperlink>
      <w:r>
        <w:t xml:space="preserve">; </w:t>
      </w:r>
      <w:hyperlink w:anchor="ref-OpenScienceCollaboration2015">
        <w:r w:rsidR="00883310">
          <w:rPr>
            <w:rStyle w:val="Hyperlink"/>
          </w:rPr>
          <w:t>Open Science Collaboration 2015</w:t>
        </w:r>
      </w:hyperlink>
      <w:r>
        <w:t xml:space="preserve">). This practice reflects the broader goals of open science. Nevertheless, the issue of researcher degrees of freedom indicates that current standards of openness remain insufficient (see </w:t>
      </w:r>
      <w:hyperlink w:anchor="ref-HuEtAl2025a">
        <w:r w:rsidR="00883310">
          <w:rPr>
            <w:rStyle w:val="Hyperlink"/>
          </w:rPr>
          <w:t>Hu, Tai, and Solt 2025</w:t>
        </w:r>
      </w:hyperlink>
      <w:r>
        <w:t>). In the context of data harmonization, we advocate for what we call a “second-order” opening. “First-order” openness refers to sharing code and outputs from the analysis stage, and second-order openness involves making transparent the data generation process (DGP)—including data collection, cleaning, wrangling, and harmonization decisions.</w:t>
      </w:r>
    </w:p>
    <w:p w14:paraId="008A9744" w14:textId="77777777" w:rsidR="00883310" w:rsidRDefault="00000000">
      <w:pPr>
        <w:pStyle w:val="BodyText"/>
      </w:pPr>
      <w:r>
        <w:lastRenderedPageBreak/>
        <w:t>Empirical evidence has indicated the severe consequences of neglecting second-order opening. Recent research has found that researcher-induced variation in estimated effects may exceed the population variation (</w:t>
      </w:r>
      <w:hyperlink w:anchor="ref-HolzmeisterEtAl2024">
        <w:r w:rsidR="00883310">
          <w:rPr>
            <w:rStyle w:val="Hyperlink"/>
          </w:rPr>
          <w:t>Holzmeister et al. 2024</w:t>
        </w:r>
      </w:hyperlink>
      <w:r>
        <w:t>) and a substantial share of this variation stems from the data-wrangling decisions (</w:t>
      </w:r>
      <w:hyperlink w:anchor="ref-Huntington-KleinEtAl2025">
        <w:r w:rsidR="00883310">
          <w:rPr>
            <w:rStyle w:val="Hyperlink"/>
          </w:rPr>
          <w:t>Huntington-Klein et al. 2025, 33</w:t>
        </w:r>
      </w:hyperlink>
      <w:r>
        <w:t>). In a “many-analyst” analysis (</w:t>
      </w:r>
      <w:hyperlink w:anchor="ref-Huntington-KleinEtAl2025">
        <w:r w:rsidR="00883310">
          <w:rPr>
            <w:rStyle w:val="Hyperlink"/>
          </w:rPr>
          <w:t>Huntington-Klein et al. 2025</w:t>
        </w:r>
      </w:hyperlink>
      <w:r>
        <w:t xml:space="preserve">), 146 research teams completed the same research task: Group A decided how to accomplish the task on their own, Group B was given a specified research design but processed the data themselves, and Group C was given the same research design and a pre-cleaned data set. Group B produced the </w:t>
      </w:r>
      <w:r>
        <w:rPr>
          <w:i/>
          <w:iCs/>
        </w:rPr>
        <w:t>highest</w:t>
      </w:r>
      <w:r>
        <w:t xml:space="preserve"> variation in results, while Group C generated the most consistent estimates. These findings underscore the importance of openness about data preparation and processing decisions (“second-order” openness).</w:t>
      </w:r>
    </w:p>
    <w:p w14:paraId="5FD9C579" w14:textId="77777777" w:rsidR="00883310" w:rsidRDefault="00000000">
      <w:pPr>
        <w:pStyle w:val="BodyText"/>
      </w:pPr>
      <w:r>
        <w:t>For researchers following our recommendations on team-based construct building, systematic data selection, and automated data entry, second-order opening becomes both feasible and efficient. Along with a clearly conceptualized theoretical framework, researchers can share their scripts for data downloading, formatting, and wrangling to ensure that the full pipeline is documented and reproducible.</w:t>
      </w:r>
      <w:r>
        <w:rPr>
          <w:rStyle w:val="FootnoteReference"/>
        </w:rPr>
        <w:footnoteReference w:id="4"/>
      </w:r>
    </w:p>
    <w:p w14:paraId="40798E85" w14:textId="3A051D8E" w:rsidR="00883310" w:rsidRDefault="00000000">
      <w:pPr>
        <w:pStyle w:val="BodyText"/>
      </w:pPr>
      <w:r>
        <w:t>With developed scientific and technical publishing systems such as Quarto or R Markdown, version control platforms like GitHub, and open collaboration platforms including the Open Science Framework, researchers can integrate the entire workflow—–from raw data collection to final analysis–—in a single, publicly trackable archive. We</w:t>
      </w:r>
      <w:r w:rsidR="0002561C">
        <w:t xml:space="preserve"> have</w:t>
      </w:r>
      <w:r w:rsidR="00D97FA2">
        <w:t xml:space="preserve"> </w:t>
      </w:r>
      <w:r>
        <w:t xml:space="preserve">reached this step for all the DCPO projects so far. Readers can trace a research project from the start in a GitHub repo and every wave of data update in the corresponding OSF project (see, for example, </w:t>
      </w:r>
      <w:hyperlink w:anchor="ref-TaiEtAl2024">
        <w:r w:rsidR="00883310">
          <w:rPr>
            <w:rStyle w:val="Hyperlink"/>
          </w:rPr>
          <w:t>Tai, Hu, and Solt 2024</w:t>
        </w:r>
      </w:hyperlink>
      <w:r>
        <w:t>).</w:t>
      </w:r>
    </w:p>
    <w:p w14:paraId="125D6846" w14:textId="77777777" w:rsidR="00883310" w:rsidRDefault="00000000">
      <w:pPr>
        <w:pStyle w:val="Heading1"/>
      </w:pPr>
      <w:bookmarkStart w:id="6" w:name="discussion"/>
      <w:bookmarkEnd w:id="1"/>
      <w:bookmarkEnd w:id="5"/>
      <w:r>
        <w:t>3. Discussion</w:t>
      </w:r>
    </w:p>
    <w:tbl>
      <w:tblPr>
        <w:tblStyle w:val="Table"/>
        <w:tblW w:w="5000" w:type="pct"/>
        <w:tblLayout w:type="fixed"/>
        <w:tblLook w:val="0000" w:firstRow="0" w:lastRow="0" w:firstColumn="0" w:lastColumn="0" w:noHBand="0" w:noVBand="0"/>
      </w:tblPr>
      <w:tblGrid>
        <w:gridCol w:w="9576"/>
      </w:tblGrid>
      <w:tr w:rsidR="00883310" w14:paraId="5BC59DC1" w14:textId="77777777">
        <w:tc>
          <w:tcPr>
            <w:tcW w:w="7920" w:type="dxa"/>
          </w:tcPr>
          <w:p w14:paraId="5EA0D985" w14:textId="4ED4EDE8" w:rsidR="00883310" w:rsidRDefault="0049213B" w:rsidP="0049213B">
            <w:pPr>
              <w:pStyle w:val="Compact"/>
              <w:jc w:val="center"/>
            </w:pPr>
            <w:bookmarkStart w:id="7" w:name="fig-diagram"/>
            <w:r>
              <w:rPr>
                <w:noProof/>
              </w:rPr>
              <w:t>&lt;</w:t>
            </w:r>
            <w:r w:rsidRPr="0049213B">
              <w:rPr>
                <w:noProof/>
              </w:rPr>
              <w:t xml:space="preserve">insert </w:t>
            </w:r>
            <w:r>
              <w:rPr>
                <w:noProof/>
              </w:rPr>
              <w:t>F</w:t>
            </w:r>
            <w:r w:rsidRPr="0049213B">
              <w:rPr>
                <w:noProof/>
              </w:rPr>
              <w:t xml:space="preserve">igure </w:t>
            </w:r>
            <w:r>
              <w:rPr>
                <w:noProof/>
              </w:rPr>
              <w:t>2</w:t>
            </w:r>
            <w:r w:rsidRPr="0049213B">
              <w:rPr>
                <w:noProof/>
              </w:rPr>
              <w:t xml:space="preserve"> here</w:t>
            </w:r>
            <w:r>
              <w:rPr>
                <w:noProof/>
              </w:rPr>
              <w:t>&gt;</w:t>
            </w:r>
          </w:p>
        </w:tc>
        <w:bookmarkEnd w:id="7"/>
      </w:tr>
    </w:tbl>
    <w:p w14:paraId="4741D82B" w14:textId="2C9AF693" w:rsidR="00883310" w:rsidRDefault="00883310">
      <w:pPr>
        <w:pStyle w:val="BodyText"/>
      </w:pPr>
      <w:hyperlink w:anchor="fig-diagram">
        <w:r>
          <w:rPr>
            <w:rStyle w:val="Hyperlink"/>
          </w:rPr>
          <w:t>Figure 2</w:t>
        </w:r>
      </w:hyperlink>
      <w:r w:rsidR="00000000">
        <w:t xml:space="preserve"> presents the whole process of the 3-step routine of data wrangling for </w:t>
      </w:r>
      <w:r w:rsidR="00D97FA2">
        <w:t xml:space="preserve">the </w:t>
      </w:r>
      <w:r w:rsidR="00000000">
        <w:t xml:space="preserve">later harmonization phase. Implementing these practices requires effort, just as in many open-science endeavors (see </w:t>
      </w:r>
      <w:hyperlink w:anchor="ref-EngzellRohrer2021">
        <w:r>
          <w:rPr>
            <w:rStyle w:val="Hyperlink"/>
          </w:rPr>
          <w:t>Engzell and Rohrer 2021</w:t>
        </w:r>
      </w:hyperlink>
      <w:r w:rsidR="00000000">
        <w:t>). Though labor-intensive, the double-entry method reduces error rates thirty-fold (</w:t>
      </w:r>
      <w:hyperlink w:anchor="ref-BarchardPace2011">
        <w:r>
          <w:rPr>
            <w:rStyle w:val="Hyperlink"/>
          </w:rPr>
          <w:t>Barchard and Pace 2011, 1837</w:t>
        </w:r>
      </w:hyperlink>
      <w:r w:rsidR="00000000">
        <w:t>), which easily justifies the additional investment. Teamwork fosters conceptual alignment and construct refinement through collaborative discussion while also distributing tasks to reduce fatigue-related errors.</w:t>
      </w:r>
    </w:p>
    <w:p w14:paraId="440EC868" w14:textId="30469641" w:rsidR="00883310" w:rsidRDefault="00000000">
      <w:pPr>
        <w:pStyle w:val="BodyText"/>
      </w:pPr>
      <w:r>
        <w:t>Social scientists now benefit from standardized harmonization workflows (</w:t>
      </w:r>
      <w:proofErr w:type="spellStart"/>
      <w:r w:rsidR="00C95BBB" w:rsidRPr="00C95BBB">
        <w:t>Slomczynski</w:t>
      </w:r>
      <w:proofErr w:type="spellEnd"/>
      <w:r w:rsidR="00C95BBB" w:rsidRPr="00C95BBB">
        <w:t xml:space="preserve">, Tomescu-Dubrow, and </w:t>
      </w:r>
      <w:proofErr w:type="spellStart"/>
      <w:r w:rsidR="00C95BBB" w:rsidRPr="00C95BBB">
        <w:t>Wysmulek</w:t>
      </w:r>
      <w:proofErr w:type="spellEnd"/>
      <w:r w:rsidR="00C95BBB" w:rsidRPr="00C95BBB">
        <w:t xml:space="preserve"> 2025</w:t>
      </w:r>
      <w:r>
        <w:t>) and automated data processing (</w:t>
      </w:r>
      <w:hyperlink w:anchor="ref-Kritzinger2025">
        <w:r w:rsidR="00883310">
          <w:rPr>
            <w:rStyle w:val="Hyperlink"/>
          </w:rPr>
          <w:t>Kritzinger, Lutz, and Boomgaarden 2025</w:t>
        </w:r>
      </w:hyperlink>
      <w:r>
        <w:t xml:space="preserve">). Researchers can reuse high-quality harmonized datasets, enhancing efficiency and comparability. Open-source software packages like those used </w:t>
      </w:r>
      <w:r>
        <w:lastRenderedPageBreak/>
        <w:t xml:space="preserve">by the SWIID and </w:t>
      </w:r>
      <w:r>
        <w:rPr>
          <w:rStyle w:val="VerbatimChar"/>
        </w:rPr>
        <w:t>DCPOtools</w:t>
      </w:r>
      <w:r>
        <w:t xml:space="preserve"> have already automated many data preparation tasks. With large language models emerging, intelligent agents may soon handle parts of these routines, potentially advancing automation to new levels (</w:t>
      </w:r>
      <w:hyperlink w:anchor="ref-Kritzinger2025">
        <w:r w:rsidR="00883310">
          <w:rPr>
            <w:rStyle w:val="Hyperlink"/>
          </w:rPr>
          <w:t>Kritzinger, Lutz, and Boomgaarden 2025</w:t>
        </w:r>
      </w:hyperlink>
      <w:r>
        <w:t>).</w:t>
      </w:r>
    </w:p>
    <w:p w14:paraId="062B0F02" w14:textId="77777777" w:rsidR="00883310" w:rsidRDefault="00000000">
      <w:pPr>
        <w:pStyle w:val="BodyText"/>
      </w:pPr>
      <w:r>
        <w:t>A final point we would like to emphasize is that researchers remain central to data harmonization. As illustrated by the SWIID and DCPO examples, researchers must steer all key decisions from clarifying research questions and building theoretical constructs to managing version control and developing replication materials. Early steps such as construct development and codebook refinement require iterative deliberation to achieve high intercoder reliability. Even with automated data entry, human validation is essential for verifying variable formats and value ranges. Computing environments should also be documented to minimize system-related discrepancies (</w:t>
      </w:r>
      <w:hyperlink w:anchor="ref-Liu2019">
        <w:r w:rsidR="00883310">
          <w:rPr>
            <w:rStyle w:val="Hyperlink"/>
          </w:rPr>
          <w:t>Liu and Salganik 2019</w:t>
        </w:r>
      </w:hyperlink>
      <w:r>
        <w:t>).</w:t>
      </w:r>
    </w:p>
    <w:p w14:paraId="3CEB6F4E" w14:textId="77777777" w:rsidR="00883310" w:rsidRDefault="00000000">
      <w:pPr>
        <w:pStyle w:val="BodyText"/>
      </w:pPr>
      <w:r>
        <w:t>For retrospective, “ex-post” harmonization projects, careful attention to pre-harmonization stages substantially contributes to overall data quality. While some error is inevitable, with responsible researcher oversight, data-entry errors can be minimized while transparency, openness, and research credibility continue to grow.</w:t>
      </w:r>
    </w:p>
    <w:p w14:paraId="2F19EA4A" w14:textId="77777777" w:rsidR="00883310" w:rsidRDefault="00000000">
      <w:pPr>
        <w:pStyle w:val="Heading1"/>
      </w:pPr>
      <w:bookmarkStart w:id="8" w:name="notes"/>
      <w:bookmarkEnd w:id="6"/>
      <w:r>
        <w:t>Notes</w:t>
      </w:r>
    </w:p>
    <w:p w14:paraId="00DA0225" w14:textId="3359C41D" w:rsidR="00341274" w:rsidRDefault="00341274" w:rsidP="00341274">
      <w:pPr>
        <w:pStyle w:val="BodyText"/>
        <w:numPr>
          <w:ilvl w:val="0"/>
          <w:numId w:val="4"/>
        </w:numPr>
      </w:pPr>
      <w:r w:rsidRPr="00341274">
        <w:t>Here, “available data” refers to existing data sources that contain information relevant to the variable of interest. Although some comparisons can proceed without complete coverage, analyses based on incomplete information risk producing misleading conclusions (see, e.g., Solt et al. 2016, 2017). Therefore, data sufficiency is closely tied to the (external) validity of comparisons.</w:t>
      </w:r>
    </w:p>
    <w:p w14:paraId="7B52D246" w14:textId="782F92E3" w:rsidR="00341274" w:rsidRDefault="00341274" w:rsidP="00341274">
      <w:pPr>
        <w:pStyle w:val="BodyText"/>
        <w:numPr>
          <w:ilvl w:val="0"/>
          <w:numId w:val="4"/>
        </w:numPr>
      </w:pPr>
      <w:r w:rsidRPr="00341274">
        <w:t>Harmonizing aggregate data (as in SWIID) and survey data (as in DCPO)</w:t>
      </w:r>
      <w:r w:rsidR="0002561C">
        <w:t xml:space="preserve"> </w:t>
      </w:r>
      <w:r w:rsidRPr="00341274">
        <w:t>involves different challenges. Aggregate data require consistent measurement and scaling across sources, whereas survey data require conceptual and semantic alignment of questions and response options. We use the two cases to illustrate how the TAO routine can benefit diverse harmonization tasks.</w:t>
      </w:r>
    </w:p>
    <w:p w14:paraId="14579224" w14:textId="6D804CF7" w:rsidR="00341274" w:rsidRDefault="00341274" w:rsidP="00341274">
      <w:pPr>
        <w:pStyle w:val="BodyText"/>
        <w:numPr>
          <w:ilvl w:val="0"/>
          <w:numId w:val="4"/>
        </w:numPr>
      </w:pPr>
      <w:r w:rsidRPr="00341274">
        <w:t xml:space="preserve">See more details on how </w:t>
      </w:r>
      <w:proofErr w:type="spellStart"/>
      <w:r w:rsidRPr="00341274">
        <w:t>DCPOtools</w:t>
      </w:r>
      <w:proofErr w:type="spellEnd"/>
      <w:r w:rsidRPr="00341274">
        <w:t xml:space="preserve"> standardizes public surveys for harmonization in the upcoming vignette associated with the package and the software repo (</w:t>
      </w:r>
      <w:hyperlink r:id="rId12" w:history="1">
        <w:r w:rsidRPr="004E6CAC">
          <w:rPr>
            <w:rStyle w:val="Hyperlink"/>
          </w:rPr>
          <w:t>https://github.com/fsolt/DCPOtools</w:t>
        </w:r>
      </w:hyperlink>
      <w:r w:rsidRPr="00341274">
        <w:t>).</w:t>
      </w:r>
    </w:p>
    <w:p w14:paraId="4F99DD2D" w14:textId="466CAF24" w:rsidR="00341274" w:rsidRDefault="00341274" w:rsidP="00341274">
      <w:pPr>
        <w:pStyle w:val="BodyText"/>
        <w:numPr>
          <w:ilvl w:val="0"/>
          <w:numId w:val="4"/>
        </w:numPr>
      </w:pPr>
      <w:r>
        <w:t>Oser and Zur (</w:t>
      </w:r>
      <w:hyperlink w:anchor="ref-OserZur2025">
        <w:r>
          <w:rPr>
            <w:rStyle w:val="Hyperlink"/>
          </w:rPr>
          <w:t>2025</w:t>
        </w:r>
      </w:hyperlink>
      <w:r>
        <w:t>) also point out that programming expertise can also affect the reproducibility of the data wrangling process.</w:t>
      </w:r>
    </w:p>
    <w:p w14:paraId="5440D665" w14:textId="77777777" w:rsidR="00341274" w:rsidRPr="00341274" w:rsidRDefault="00341274" w:rsidP="00341274">
      <w:pPr>
        <w:pStyle w:val="BodyText"/>
      </w:pPr>
    </w:p>
    <w:p w14:paraId="103DE264" w14:textId="77777777" w:rsidR="00883310" w:rsidRDefault="00000000">
      <w:r>
        <w:br w:type="page"/>
      </w:r>
    </w:p>
    <w:p w14:paraId="3E5B7F59" w14:textId="77777777" w:rsidR="00596859" w:rsidRDefault="00596859">
      <w:pPr>
        <w:pStyle w:val="Heading1"/>
      </w:pPr>
      <w:bookmarkStart w:id="9" w:name="references"/>
      <w:bookmarkEnd w:id="8"/>
      <w:r w:rsidRPr="00596859">
        <w:lastRenderedPageBreak/>
        <w:t>ACKNOWLEDGEMENTS</w:t>
      </w:r>
    </w:p>
    <w:p w14:paraId="1AE8E9CE" w14:textId="3C4CA455" w:rsidR="00596859" w:rsidRPr="009E57BB" w:rsidRDefault="009E57BB" w:rsidP="00596859">
      <w:pPr>
        <w:pStyle w:val="BodyText"/>
      </w:pPr>
      <w:r w:rsidRPr="009E57BB">
        <w:t>Yue Hu appreciates the funding support from the National Natural Science Foundation of China (72374116) and Tsinghua University Initiative Scientific Research Program (2024THZWJC01).</w:t>
      </w:r>
    </w:p>
    <w:p w14:paraId="5F2ED634" w14:textId="47DA6E38" w:rsidR="00596859" w:rsidRDefault="00596859" w:rsidP="00596859">
      <w:pPr>
        <w:pStyle w:val="BodyText"/>
        <w:rPr>
          <w:rFonts w:asciiTheme="majorHAnsi" w:eastAsiaTheme="majorEastAsia" w:hAnsiTheme="majorHAnsi" w:cstheme="majorBidi"/>
          <w:color w:val="0F4761" w:themeColor="accent1" w:themeShade="BF"/>
          <w:sz w:val="40"/>
          <w:szCs w:val="40"/>
        </w:rPr>
      </w:pPr>
      <w:r w:rsidRPr="00596859">
        <w:rPr>
          <w:rFonts w:asciiTheme="majorHAnsi" w:eastAsiaTheme="majorEastAsia" w:hAnsiTheme="majorHAnsi" w:cstheme="majorBidi"/>
          <w:color w:val="0F4761" w:themeColor="accent1" w:themeShade="BF"/>
          <w:sz w:val="40"/>
          <w:szCs w:val="40"/>
        </w:rPr>
        <w:t>DATA AVAILABILITY STATEMENT</w:t>
      </w:r>
    </w:p>
    <w:p w14:paraId="5B44EFBB" w14:textId="05ABDEFF" w:rsidR="009E57BB" w:rsidRPr="009E57BB" w:rsidRDefault="009E57BB" w:rsidP="00596859">
      <w:pPr>
        <w:pStyle w:val="BodyText"/>
      </w:pPr>
      <w:r>
        <w:t xml:space="preserve">Research documentation and data that support the findings of this study are openly available at the PS: Political Science &amp; Politics Harvard Dataverse at </w:t>
      </w:r>
      <w:hyperlink r:id="rId13" w:tgtFrame="_blank" w:history="1">
        <w:r>
          <w:rPr>
            <w:rStyle w:val="Hyperlink"/>
            <w:rFonts w:ascii="Helvetica Neue" w:hAnsi="Helvetica Neue"/>
            <w:color w:val="23527C"/>
            <w:sz w:val="21"/>
            <w:szCs w:val="21"/>
            <w:shd w:val="clear" w:color="auto" w:fill="ECF6FB"/>
          </w:rPr>
          <w:t>https://doi.org/10.7910/DVN/MBDB0P</w:t>
        </w:r>
      </w:hyperlink>
      <w:r>
        <w:t>. C</w:t>
      </w:r>
      <w:r w:rsidRPr="009E57BB">
        <w:t>omplete revision history may be found at</w:t>
      </w:r>
      <w:r>
        <w:t xml:space="preserve"> </w:t>
      </w:r>
      <w:hyperlink r:id="rId14" w:history="1">
        <w:r w:rsidRPr="004E6CAC">
          <w:rPr>
            <w:rStyle w:val="Hyperlink"/>
          </w:rPr>
          <w:t>https://github.com/fsolt/wrangling_data</w:t>
        </w:r>
      </w:hyperlink>
      <w:r w:rsidRPr="009E57BB">
        <w:t>.</w:t>
      </w:r>
    </w:p>
    <w:p w14:paraId="4E575689" w14:textId="4780E862" w:rsidR="00596859" w:rsidRDefault="00596859" w:rsidP="00596859">
      <w:pPr>
        <w:pStyle w:val="BodyText"/>
        <w:rPr>
          <w:rFonts w:asciiTheme="majorHAnsi" w:eastAsiaTheme="majorEastAsia" w:hAnsiTheme="majorHAnsi" w:cstheme="majorBidi"/>
          <w:color w:val="0F4761" w:themeColor="accent1" w:themeShade="BF"/>
          <w:sz w:val="40"/>
          <w:szCs w:val="40"/>
        </w:rPr>
      </w:pPr>
      <w:r w:rsidRPr="00596859">
        <w:rPr>
          <w:rFonts w:asciiTheme="majorHAnsi" w:eastAsiaTheme="majorEastAsia" w:hAnsiTheme="majorHAnsi" w:cstheme="majorBidi"/>
          <w:color w:val="0F4761" w:themeColor="accent1" w:themeShade="BF"/>
          <w:sz w:val="40"/>
          <w:szCs w:val="40"/>
        </w:rPr>
        <w:t>CONFLICTS OF INTEREST</w:t>
      </w:r>
    </w:p>
    <w:p w14:paraId="6FF04043" w14:textId="4328CE13" w:rsidR="00596859" w:rsidRPr="00596859" w:rsidRDefault="00596859" w:rsidP="00596859">
      <w:pPr>
        <w:pStyle w:val="BodyText"/>
        <w:rPr>
          <w:rFonts w:asciiTheme="majorHAnsi" w:eastAsiaTheme="majorEastAsia" w:hAnsiTheme="majorHAnsi" w:cstheme="majorBidi"/>
          <w:color w:val="0F4761" w:themeColor="accent1" w:themeShade="BF"/>
          <w:sz w:val="40"/>
          <w:szCs w:val="40"/>
        </w:rPr>
      </w:pPr>
      <w:r>
        <w:t>The authors declare no ethical issues or conflicts of interest in this research.</w:t>
      </w:r>
    </w:p>
    <w:p w14:paraId="3122D113" w14:textId="0CF216A5" w:rsidR="00883310" w:rsidRDefault="00000000">
      <w:pPr>
        <w:pStyle w:val="Heading1"/>
      </w:pPr>
      <w:r>
        <w:t>References</w:t>
      </w:r>
    </w:p>
    <w:p w14:paraId="1FBB88F7" w14:textId="77777777" w:rsidR="00883310" w:rsidRDefault="00000000">
      <w:pPr>
        <w:pStyle w:val="FirstParagraph"/>
      </w:pPr>
      <w:bookmarkStart w:id="10" w:name="ref-BarchardPace2011"/>
      <w:bookmarkStart w:id="11" w:name="refs-main"/>
      <w:r>
        <w:t xml:space="preserve">Barchard, Kimberly A., and Larry A. Pace. 2011. “Preventing Human Error: The Impact of Data Entry Methods on Data Accuracy and Statistical Results.” </w:t>
      </w:r>
      <w:r>
        <w:rPr>
          <w:i/>
          <w:iCs/>
        </w:rPr>
        <w:t>Computers in Human Behavior</w:t>
      </w:r>
      <w:r>
        <w:t xml:space="preserve"> 27(5): 1834–39.</w:t>
      </w:r>
    </w:p>
    <w:p w14:paraId="78823502" w14:textId="77777777" w:rsidR="00883310" w:rsidRDefault="00000000">
      <w:pPr>
        <w:pStyle w:val="BodyText"/>
      </w:pPr>
      <w:bookmarkStart w:id="12" w:name="ref-CaugheyEtAl2019"/>
      <w:bookmarkEnd w:id="10"/>
      <w:r>
        <w:t xml:space="preserve">Caughey, Devin, Tom O’Grady, and Christopher Warshaw. 2019. “Policy Ideology in European Mass Publics, 1981–2016.” </w:t>
      </w:r>
      <w:r>
        <w:rPr>
          <w:i/>
          <w:iCs/>
        </w:rPr>
        <w:t>American Political Science Review</w:t>
      </w:r>
      <w:r>
        <w:t>: 1–20.</w:t>
      </w:r>
    </w:p>
    <w:p w14:paraId="3638804B" w14:textId="77777777" w:rsidR="00883310" w:rsidRDefault="00000000">
      <w:pPr>
        <w:pStyle w:val="BodyText"/>
      </w:pPr>
      <w:bookmarkStart w:id="13" w:name="ref-ChangLi2015"/>
      <w:bookmarkEnd w:id="12"/>
      <w:r>
        <w:t xml:space="preserve">Chang, Andrew, and Phillip Li. 2015. “Is Economics Research Replicable? Sixty Published Papers from Thirteen Journals Say ‘Usually Not’.” </w:t>
      </w:r>
      <w:r>
        <w:rPr>
          <w:i/>
          <w:iCs/>
        </w:rPr>
        <w:t>Finance and Economics Discussion Series</w:t>
      </w:r>
      <w:r>
        <w:t xml:space="preserve"> 7: 1–25.</w:t>
      </w:r>
    </w:p>
    <w:p w14:paraId="309E8CBF" w14:textId="77777777" w:rsidR="00883310" w:rsidRDefault="00000000">
      <w:pPr>
        <w:pStyle w:val="BodyText"/>
      </w:pPr>
      <w:bookmarkStart w:id="14" w:name="ref-ChengEtAl2024"/>
      <w:bookmarkEnd w:id="13"/>
      <w:r>
        <w:t xml:space="preserve">Cheng, Cindy, Luca Messerschmidt, Isaac Bravo, Marco Waldbauer, Rohan Bhavikatti, Caress Schenk, Vanja Grujic, et al. 2024. “A General Primer for Data Harmonization.” </w:t>
      </w:r>
      <w:r>
        <w:rPr>
          <w:i/>
          <w:iCs/>
        </w:rPr>
        <w:t>Scientific Data</w:t>
      </w:r>
      <w:r>
        <w:t xml:space="preserve"> 11(1): 152.</w:t>
      </w:r>
    </w:p>
    <w:p w14:paraId="4D8A4A83" w14:textId="77777777" w:rsidR="00883310" w:rsidRDefault="00000000">
      <w:pPr>
        <w:pStyle w:val="BodyText"/>
      </w:pPr>
      <w:bookmarkStart w:id="15" w:name="ref-Claassen2019"/>
      <w:bookmarkEnd w:id="14"/>
      <w:r>
        <w:t xml:space="preserve">Claassen, Christopher. 2019. “Estimating Smooth Country–Year Panels of Public Opinion.” </w:t>
      </w:r>
      <w:r>
        <w:rPr>
          <w:i/>
          <w:iCs/>
        </w:rPr>
        <w:t>Political Analysis</w:t>
      </w:r>
      <w:r>
        <w:t xml:space="preserve"> 27(1): 1–20.</w:t>
      </w:r>
    </w:p>
    <w:p w14:paraId="4D59563C" w14:textId="77777777" w:rsidR="00883310" w:rsidRDefault="00000000">
      <w:pPr>
        <w:pStyle w:val="BodyText"/>
      </w:pPr>
      <w:bookmarkStart w:id="16" w:name="ref-DubrowTomescu-Dubrow2016"/>
      <w:bookmarkEnd w:id="15"/>
      <w:r>
        <w:t xml:space="preserve">Dubrow, Joshua Kjerulf, and Irina Tomescu-Dubrow. 2016. “The Rise of Cross-National Survey Data Harmonization in the Social Sciences: Emergence of an Interdisciplinary Methodological Field.” </w:t>
      </w:r>
      <w:r>
        <w:rPr>
          <w:i/>
          <w:iCs/>
        </w:rPr>
        <w:t>Quality &amp; Quantity</w:t>
      </w:r>
      <w:r>
        <w:t xml:space="preserve"> 50(4): 1449–67.</w:t>
      </w:r>
    </w:p>
    <w:p w14:paraId="774E230C" w14:textId="77777777" w:rsidR="00883310" w:rsidRDefault="00000000">
      <w:pPr>
        <w:pStyle w:val="BodyText"/>
      </w:pPr>
      <w:bookmarkStart w:id="17" w:name="ref-EngzellRohrer2021"/>
      <w:bookmarkEnd w:id="16"/>
      <w:r>
        <w:t xml:space="preserve">Engzell, Per, and Julia M. Rohrer. 2021. “Improving Social Science: Lessons from the Open Science Movement.” </w:t>
      </w:r>
      <w:r>
        <w:rPr>
          <w:i/>
          <w:iCs/>
        </w:rPr>
        <w:t>PS: Political Science &amp; Politics</w:t>
      </w:r>
      <w:r>
        <w:t xml:space="preserve"> 54(2): 297–300.</w:t>
      </w:r>
    </w:p>
    <w:p w14:paraId="0BA368BE" w14:textId="77777777" w:rsidR="00883310" w:rsidRDefault="00000000">
      <w:pPr>
        <w:pStyle w:val="BodyText"/>
      </w:pPr>
      <w:bookmarkStart w:id="18" w:name="ref-HaegemansEtAl2019"/>
      <w:bookmarkEnd w:id="17"/>
      <w:r>
        <w:lastRenderedPageBreak/>
        <w:t xml:space="preserve">Haegemans, Tom, Monique Snoeck, and Wilfried Lemahieu. 2019. “A Theoretical Framework to Improve the Quality of Manually Acquired Data.” </w:t>
      </w:r>
      <w:r>
        <w:rPr>
          <w:i/>
          <w:iCs/>
        </w:rPr>
        <w:t>Information &amp; Management</w:t>
      </w:r>
      <w:r>
        <w:t xml:space="preserve"> 56(1): 1–14.</w:t>
      </w:r>
    </w:p>
    <w:p w14:paraId="16F5EB5C" w14:textId="77777777" w:rsidR="00883310" w:rsidRDefault="00000000">
      <w:pPr>
        <w:pStyle w:val="BodyText"/>
      </w:pPr>
      <w:bookmarkStart w:id="19" w:name="ref-HagemannEtAl2017"/>
      <w:bookmarkEnd w:id="18"/>
      <w:r>
        <w:t xml:space="preserve">Hagemann, Sara, Sara B. Hobolt, and Christopher Wratil. 2017. “Government Responsiveness in the European Union: Evidence from Council Voting.” </w:t>
      </w:r>
      <w:r>
        <w:rPr>
          <w:i/>
          <w:iCs/>
        </w:rPr>
        <w:t>Comparative Political Studies</w:t>
      </w:r>
      <w:r>
        <w:t xml:space="preserve"> 50(6): 850–76.</w:t>
      </w:r>
    </w:p>
    <w:p w14:paraId="7352F3F2" w14:textId="77777777" w:rsidR="00883310" w:rsidRDefault="00000000">
      <w:pPr>
        <w:pStyle w:val="BodyText"/>
      </w:pPr>
      <w:bookmarkStart w:id="20" w:name="ref-HolzmeisterEtAl2024"/>
      <w:bookmarkEnd w:id="19"/>
      <w:r>
        <w:t xml:space="preserve">Holzmeister, Felix, Magnus Johannesson, Robert Böhm, Anna Dreber, Jürgen Huber, and Michael Kirchler. 2024. “Heterogeneity in Effect Size Estimates.” </w:t>
      </w:r>
      <w:r>
        <w:rPr>
          <w:i/>
          <w:iCs/>
        </w:rPr>
        <w:t>Proceedings of the National Academy of Sciences</w:t>
      </w:r>
      <w:r>
        <w:t xml:space="preserve"> 121(32): e2403490121.</w:t>
      </w:r>
    </w:p>
    <w:p w14:paraId="50658EB6" w14:textId="77777777" w:rsidR="00883310" w:rsidRDefault="00000000">
      <w:pPr>
        <w:pStyle w:val="BodyText"/>
      </w:pPr>
      <w:bookmarkStart w:id="21" w:name="ref-HuSolt2025"/>
      <w:bookmarkEnd w:id="20"/>
      <w:r>
        <w:t xml:space="preserve">Hu, Yue, and Frederick Solt. 2025. “Macrointerest Across Countries.” </w:t>
      </w:r>
      <w:r>
        <w:rPr>
          <w:i/>
          <w:iCs/>
        </w:rPr>
        <w:t>British Journal of Political Science</w:t>
      </w:r>
      <w:r>
        <w:t xml:space="preserve"> 55(e71): 1–10.</w:t>
      </w:r>
    </w:p>
    <w:p w14:paraId="6320C970" w14:textId="77777777" w:rsidR="00883310" w:rsidRDefault="00000000">
      <w:pPr>
        <w:pStyle w:val="BodyText"/>
      </w:pPr>
      <w:bookmarkStart w:id="22" w:name="ref-HuEtAl2025a"/>
      <w:bookmarkEnd w:id="21"/>
      <w:r>
        <w:t xml:space="preserve">Hu, Yue, Yuehong Cassandra Tai, and Frederick Solt. 2025. “Revisiting the Evidence on Thermostatic Response to Democratic Change: Degrees of Democratic Support or Researcher Degrees of Freedom?” </w:t>
      </w:r>
      <w:r>
        <w:rPr>
          <w:i/>
          <w:iCs/>
        </w:rPr>
        <w:t>Political Science Research and Methods</w:t>
      </w:r>
      <w:r>
        <w:t xml:space="preserve"> 13(1): 237–43.</w:t>
      </w:r>
    </w:p>
    <w:p w14:paraId="6547E72D" w14:textId="244E0130" w:rsidR="009E57BB" w:rsidRDefault="009E57BB">
      <w:pPr>
        <w:pStyle w:val="BodyText"/>
      </w:pPr>
      <w:r>
        <w:t>Hu, Yue, Yuehong Cassandra Tai, and Frederick Solt. 2026. “Replication Data for ‘</w:t>
      </w:r>
      <w:r w:rsidR="00191668">
        <w:rPr>
          <w:rStyle w:val="Emphasis"/>
        </w:rPr>
        <w:t>A TAO for Data Wrangling: A Practical Routine for Getting Past the ‘Janitor Work</w:t>
      </w:r>
      <w:r>
        <w:t>’” PS: Political Science &amp; Politics. Harvard Dataverse at</w:t>
      </w:r>
      <w:r w:rsidR="00191668">
        <w:t xml:space="preserve"> </w:t>
      </w:r>
      <w:hyperlink r:id="rId15" w:tgtFrame="_blank" w:history="1">
        <w:r w:rsidR="00191668">
          <w:rPr>
            <w:rStyle w:val="Hyperlink"/>
            <w:rFonts w:ascii="Helvetica Neue" w:hAnsi="Helvetica Neue"/>
            <w:color w:val="23527C"/>
            <w:sz w:val="21"/>
            <w:szCs w:val="21"/>
            <w:shd w:val="clear" w:color="auto" w:fill="ECF6FB"/>
          </w:rPr>
          <w:t>https://doi.org/10.7910/DVN/MBDB0P</w:t>
        </w:r>
      </w:hyperlink>
      <w:r w:rsidR="00191668">
        <w:t>.</w:t>
      </w:r>
    </w:p>
    <w:p w14:paraId="7BDCA80C" w14:textId="77777777" w:rsidR="00883310" w:rsidRDefault="00000000">
      <w:pPr>
        <w:pStyle w:val="BodyText"/>
      </w:pPr>
      <w:bookmarkStart w:id="23" w:name="ref-Huntington-KleinEtAl2025"/>
      <w:bookmarkEnd w:id="22"/>
      <w:r>
        <w:t>Huntington-Klein, Nick, Claus C. Portner, Ian McCarthy, and The Many Economists Collaborative on Researcher Variation. 2025. “The Sources of Researcher Variation in Economics.”</w:t>
      </w:r>
    </w:p>
    <w:p w14:paraId="5B27D6CF" w14:textId="77777777" w:rsidR="00883310" w:rsidRDefault="00000000">
      <w:pPr>
        <w:pStyle w:val="BodyText"/>
      </w:pPr>
      <w:bookmarkStart w:id="24" w:name="ref-KizilovaEtAl2024"/>
      <w:bookmarkEnd w:id="23"/>
      <w:r>
        <w:t xml:space="preserve">Kizilova, Kseniya, Jaime Diez-Medrano, Christian Welzel, and Christian Haerpfer. 2024. “Harmonization in the World Values Survey.” In </w:t>
      </w:r>
      <w:r>
        <w:rPr>
          <w:i/>
          <w:iCs/>
        </w:rPr>
        <w:t>Survey Data Harmonization in the Social Sciences</w:t>
      </w:r>
      <w:r>
        <w:t>, John Wiley &amp; Sons, Ltd, 39–56.</w:t>
      </w:r>
    </w:p>
    <w:p w14:paraId="2268A62E" w14:textId="77777777" w:rsidR="00883310" w:rsidRDefault="00000000">
      <w:pPr>
        <w:pStyle w:val="BodyText"/>
      </w:pPr>
      <w:bookmarkStart w:id="25" w:name="ref-Koc2025"/>
      <w:bookmarkEnd w:id="24"/>
      <w:r>
        <w:t xml:space="preserve">Koc, Piotr, and Marta Kołczyńska. 2025. “Modeling Trends in Public Opinion: An Overview of Approaches, Assumptions and Trade-Offs.” </w:t>
      </w:r>
      <w:r>
        <w:rPr>
          <w:i/>
          <w:iCs/>
        </w:rPr>
        <w:t>Working Paper</w:t>
      </w:r>
      <w:r>
        <w:t>.</w:t>
      </w:r>
    </w:p>
    <w:p w14:paraId="23BC0A87" w14:textId="77777777" w:rsidR="00883310" w:rsidRDefault="00000000">
      <w:pPr>
        <w:pStyle w:val="BodyText"/>
      </w:pPr>
      <w:bookmarkStart w:id="26" w:name="ref-Kolczynska2022"/>
      <w:bookmarkEnd w:id="25"/>
      <w:r>
        <w:t xml:space="preserve">Kołczyńska, Marta. 2022. “Combining Multiple Survey Sources: A Reproducible Workflow and Toolbox for Survey Data Harmonization.” </w:t>
      </w:r>
      <w:r>
        <w:rPr>
          <w:i/>
          <w:iCs/>
        </w:rPr>
        <w:t>Methodological Innovations</w:t>
      </w:r>
      <w:r>
        <w:t xml:space="preserve"> 15(1): 62–72.</w:t>
      </w:r>
    </w:p>
    <w:p w14:paraId="7FECB262" w14:textId="77777777" w:rsidR="00883310" w:rsidRDefault="00000000">
      <w:pPr>
        <w:pStyle w:val="BodyText"/>
      </w:pPr>
      <w:bookmarkStart w:id="27" w:name="ref-Kritzinger2025"/>
      <w:bookmarkEnd w:id="26"/>
      <w:r>
        <w:t xml:space="preserve">Kritzinger, Sylvia, Georg Lutz, and Hajo Boomgaarden. 2025. “Visions for the Future: Challenges and Opportunities for Creating Sustainable Scholarly Infrastructures for Data Harmonization.” </w:t>
      </w:r>
      <w:r>
        <w:rPr>
          <w:i/>
          <w:iCs/>
        </w:rPr>
        <w:t>Working Paper</w:t>
      </w:r>
      <w:r>
        <w:t>.</w:t>
      </w:r>
    </w:p>
    <w:p w14:paraId="36845589" w14:textId="77777777" w:rsidR="00883310" w:rsidRDefault="00000000">
      <w:pPr>
        <w:pStyle w:val="BodyText"/>
      </w:pPr>
      <w:bookmarkStart w:id="28" w:name="ref-Liu2019"/>
      <w:bookmarkEnd w:id="27"/>
      <w:r>
        <w:t xml:space="preserve">Liu, David M, and Matthew J Salganik. 2019. “Successes and Struggles with Computational Reproducibility: Lessons from the Fragile Families Challenge.” </w:t>
      </w:r>
      <w:r>
        <w:rPr>
          <w:i/>
          <w:iCs/>
        </w:rPr>
        <w:t>Socius</w:t>
      </w:r>
      <w:r>
        <w:t xml:space="preserve"> 5: 2378023119849803.</w:t>
      </w:r>
    </w:p>
    <w:p w14:paraId="0DD22CE2" w14:textId="77777777" w:rsidR="00883310" w:rsidRDefault="00000000">
      <w:pPr>
        <w:pStyle w:val="BodyText"/>
      </w:pPr>
      <w:bookmarkStart w:id="29" w:name="ref-Lohr2014"/>
      <w:bookmarkEnd w:id="28"/>
      <w:r>
        <w:t xml:space="preserve">Lohr, Steve. 2014. “For Big-Data Scientists, ‘Janitor Work’ Is Key Hurdle to Insights.” </w:t>
      </w:r>
      <w:r>
        <w:rPr>
          <w:i/>
          <w:iCs/>
        </w:rPr>
        <w:t>The New York Times: Technology</w:t>
      </w:r>
      <w:r>
        <w:t>.</w:t>
      </w:r>
    </w:p>
    <w:p w14:paraId="531091D9" w14:textId="77777777" w:rsidR="00883310" w:rsidRDefault="00000000">
      <w:pPr>
        <w:pStyle w:val="BodyText"/>
      </w:pPr>
      <w:bookmarkStart w:id="30" w:name="ref-OpenScienceCollaboration2015"/>
      <w:bookmarkEnd w:id="29"/>
      <w:r>
        <w:lastRenderedPageBreak/>
        <w:t xml:space="preserve">Open Science Collaboration. 2015. “Estimating the Reproducibility of Psychological Science.” </w:t>
      </w:r>
      <w:r>
        <w:rPr>
          <w:i/>
          <w:iCs/>
        </w:rPr>
        <w:t>Science</w:t>
      </w:r>
      <w:r>
        <w:t xml:space="preserve"> 349(6251): aac4716.</w:t>
      </w:r>
    </w:p>
    <w:p w14:paraId="3DB81111" w14:textId="77777777" w:rsidR="00883310" w:rsidRDefault="00000000">
      <w:pPr>
        <w:pStyle w:val="BodyText"/>
      </w:pPr>
      <w:bookmarkStart w:id="31" w:name="ref-OserZur2025"/>
      <w:bookmarkEnd w:id="30"/>
      <w:r>
        <w:t xml:space="preserve">Oser, Jennifer, and Barak Zur. 2025. “Guide for the (Soon-to-be) Perplexed: Considerations for Scholars Launching and Leading Survey Data Harmonization Journeys.” </w:t>
      </w:r>
      <w:r>
        <w:rPr>
          <w:i/>
          <w:iCs/>
        </w:rPr>
        <w:t>PS: Political Science &amp; Politics</w:t>
      </w:r>
      <w:r>
        <w:t xml:space="preserve"> 0(0): Online.</w:t>
      </w:r>
    </w:p>
    <w:p w14:paraId="59738DD8" w14:textId="77777777" w:rsidR="00883310" w:rsidRDefault="00000000">
      <w:pPr>
        <w:pStyle w:val="BodyText"/>
      </w:pPr>
      <w:bookmarkStart w:id="32" w:name="ref-RugglesEtAl2024"/>
      <w:bookmarkEnd w:id="31"/>
      <w:r>
        <w:t xml:space="preserve">Ruggles, Steven, Lara Cleveland, and Matthew Sobek. 2024. “Harmonization of Census Data: IPUMS – International.” In </w:t>
      </w:r>
      <w:r>
        <w:rPr>
          <w:i/>
          <w:iCs/>
        </w:rPr>
        <w:t>Survey Data Harmonization in the Social Sciences</w:t>
      </w:r>
      <w:r>
        <w:t>, John Wiley &amp; Sons, Ltd, 207–26.</w:t>
      </w:r>
    </w:p>
    <w:p w14:paraId="41157B0C" w14:textId="77777777" w:rsidR="00883310" w:rsidRDefault="00000000">
      <w:pPr>
        <w:pStyle w:val="BodyText"/>
      </w:pPr>
      <w:bookmarkStart w:id="33" w:name="ref-Sepulveda2024"/>
      <w:bookmarkEnd w:id="32"/>
      <w:r>
        <w:t>Sepulveda, Mauricio Vargas. 2024. “tabulapdf: Extract Tables from PDF Documents.”</w:t>
      </w:r>
    </w:p>
    <w:p w14:paraId="3303AD0F" w14:textId="77777777" w:rsidR="00C95BBB" w:rsidRDefault="00C95BBB" w:rsidP="00C95BBB">
      <w:pPr>
        <w:pStyle w:val="BodyText"/>
      </w:pPr>
      <w:bookmarkStart w:id="34" w:name="ref-Solt2020"/>
      <w:bookmarkStart w:id="35" w:name="ref-Solt2020a"/>
      <w:bookmarkStart w:id="36" w:name="ref-Slomczynski2025"/>
      <w:bookmarkEnd w:id="33"/>
      <w:proofErr w:type="spellStart"/>
      <w:r>
        <w:t>Slomczynski</w:t>
      </w:r>
      <w:proofErr w:type="spellEnd"/>
      <w:r>
        <w:t xml:space="preserve">, Kazimierz M., Irina Tomescu-Dubrow, and Ilona </w:t>
      </w:r>
      <w:proofErr w:type="spellStart"/>
      <w:r>
        <w:t>Wysmulek</w:t>
      </w:r>
      <w:proofErr w:type="spellEnd"/>
      <w:r>
        <w:t xml:space="preserve">. 2025. “Navigating Complexities of Ex-Post Harmonization of Cross-National Survey Data: Insights from the Survey Data Recycling, SDR, Project.” </w:t>
      </w:r>
      <w:r>
        <w:rPr>
          <w:i/>
          <w:iCs/>
        </w:rPr>
        <w:t>Working Paper</w:t>
      </w:r>
      <w:r>
        <w:t>.</w:t>
      </w:r>
    </w:p>
    <w:bookmarkEnd w:id="36"/>
    <w:p w14:paraId="490BC4C1" w14:textId="28BBB39C" w:rsidR="00DA35A3" w:rsidRDefault="00DA35A3">
      <w:pPr>
        <w:pStyle w:val="BodyText"/>
      </w:pPr>
      <w:r>
        <w:t>Solt, Frederick. 2020</w:t>
      </w:r>
      <w:r>
        <w:t>a</w:t>
      </w:r>
      <w:r>
        <w:t xml:space="preserve">. “Measuring Income Inequality Across Countries and over Time: The Standardized World Income Inequality Database.” </w:t>
      </w:r>
      <w:r>
        <w:rPr>
          <w:i/>
          <w:iCs/>
        </w:rPr>
        <w:t>Social Science Quarterly</w:t>
      </w:r>
      <w:r>
        <w:t xml:space="preserve"> 101(3, 3): 1183–99.</w:t>
      </w:r>
      <w:bookmarkEnd w:id="35"/>
    </w:p>
    <w:p w14:paraId="357214C1" w14:textId="58BEE5BD" w:rsidR="00DA35A3" w:rsidRDefault="00DA35A3">
      <w:pPr>
        <w:pStyle w:val="BodyText"/>
      </w:pPr>
      <w:r>
        <w:t xml:space="preserve">Solt, Frederick. 2020b. “Modeling Dynamic Comparative Public Opinion.” </w:t>
      </w:r>
      <w:proofErr w:type="spellStart"/>
      <w:r>
        <w:t>SocArXiv</w:t>
      </w:r>
      <w:proofErr w:type="spellEnd"/>
      <w:r>
        <w:t>.</w:t>
      </w:r>
    </w:p>
    <w:p w14:paraId="20FBE494" w14:textId="77777777" w:rsidR="00883310" w:rsidRDefault="00000000">
      <w:pPr>
        <w:pStyle w:val="BodyText"/>
      </w:pPr>
      <w:bookmarkStart w:id="37" w:name="ref-SoltEtAl2016"/>
      <w:bookmarkEnd w:id="34"/>
      <w:r>
        <w:t xml:space="preserve">Solt, Frederick, Yue Hu, Kevan Hudson, Jungmin Song, and Dong ‘Erico’Yu. 2016. “Economic Inequality and Belief in Meritocracy in the United States.” </w:t>
      </w:r>
      <w:r>
        <w:rPr>
          <w:i/>
          <w:iCs/>
        </w:rPr>
        <w:t>Research &amp; Politics</w:t>
      </w:r>
      <w:r>
        <w:t xml:space="preserve"> 3(4): 1–7.</w:t>
      </w:r>
    </w:p>
    <w:p w14:paraId="7A7CD708" w14:textId="77777777" w:rsidR="00883310" w:rsidRDefault="00000000">
      <w:pPr>
        <w:pStyle w:val="BodyText"/>
      </w:pPr>
      <w:bookmarkStart w:id="38" w:name="ref-SoltEtAl2017"/>
      <w:bookmarkEnd w:id="37"/>
      <w:r>
        <w:t xml:space="preserve">Solt, Frederick, Yue Hu, Kevan Hudson, Jungmin Song, and Dong ‘Erico’Yu. 2017. “Economic Inequality and Class Consciousness.” </w:t>
      </w:r>
      <w:r>
        <w:rPr>
          <w:i/>
          <w:iCs/>
        </w:rPr>
        <w:t>Journal of Politics</w:t>
      </w:r>
      <w:r>
        <w:t xml:space="preserve"> 79(3): 1079–83.</w:t>
      </w:r>
    </w:p>
    <w:p w14:paraId="2BF417AB" w14:textId="67AEA4D4" w:rsidR="00DA35A3" w:rsidRDefault="00DA35A3">
      <w:pPr>
        <w:pStyle w:val="BodyText"/>
      </w:pPr>
      <w:bookmarkStart w:id="39" w:name="ref-SoltEtAl2018a"/>
      <w:bookmarkEnd w:id="38"/>
      <w:r>
        <w:t xml:space="preserve">Solt, Frederick, Yuehong Cassandra Tai, Yue Hu, </w:t>
      </w:r>
      <w:proofErr w:type="spellStart"/>
      <w:r>
        <w:t>Hyein</w:t>
      </w:r>
      <w:proofErr w:type="spellEnd"/>
      <w:r>
        <w:t xml:space="preserve"> Ko, and Byung-</w:t>
      </w:r>
      <w:proofErr w:type="spellStart"/>
      <w:r>
        <w:t>Deuk</w:t>
      </w:r>
      <w:proofErr w:type="spellEnd"/>
      <w:r>
        <w:t xml:space="preserve"> Woo. 2019. “</w:t>
      </w:r>
      <w:proofErr w:type="spellStart"/>
      <w:r>
        <w:t>DCPOtools</w:t>
      </w:r>
      <w:proofErr w:type="spellEnd"/>
      <w:r>
        <w:t xml:space="preserve">: Tools for Preparing Survey Data for DCPO.” </w:t>
      </w:r>
      <w:hyperlink r:id="rId16">
        <w:r>
          <w:rPr>
            <w:rStyle w:val="Hyperlink"/>
          </w:rPr>
          <w:t>https://github.com/fsolt/DCPOtools</w:t>
        </w:r>
      </w:hyperlink>
      <w:r>
        <w:t>.</w:t>
      </w:r>
    </w:p>
    <w:p w14:paraId="48DC2D51" w14:textId="77777777" w:rsidR="00883310" w:rsidRDefault="00000000">
      <w:pPr>
        <w:pStyle w:val="BodyText"/>
      </w:pPr>
      <w:bookmarkStart w:id="40" w:name="ref-TaiEtAl2024"/>
      <w:bookmarkEnd w:id="39"/>
      <w:r>
        <w:t xml:space="preserve">Tai, Yuehong ‘Cassandra’, Yue Hu, and Frederick Solt. 2024. “Democracy, Public Support, and Measurement Uncertainty.” </w:t>
      </w:r>
      <w:r>
        <w:rPr>
          <w:i/>
          <w:iCs/>
        </w:rPr>
        <w:t>American Political Science Review</w:t>
      </w:r>
      <w:r>
        <w:t xml:space="preserve"> 118(1): 512–18.</w:t>
      </w:r>
    </w:p>
    <w:p w14:paraId="41C36121" w14:textId="77777777" w:rsidR="00883310" w:rsidRDefault="00000000">
      <w:pPr>
        <w:pStyle w:val="BodyText"/>
      </w:pPr>
      <w:bookmarkStart w:id="41" w:name="ref-WooEtAl2023"/>
      <w:bookmarkEnd w:id="40"/>
      <w:r>
        <w:t xml:space="preserve">Woo, Byung-Deuk, Lindsey A. Goldberg, and Frederick Solt. 2023. “Public Gender Egalitarianism: A Dataset of Dynamic Comparative Public Opinion Toward Egalitarian Gender Roles in the Public Sphere.” </w:t>
      </w:r>
      <w:r>
        <w:rPr>
          <w:i/>
          <w:iCs/>
        </w:rPr>
        <w:t>British Journal of Political Science</w:t>
      </w:r>
      <w:r>
        <w:t xml:space="preserve"> 53(2): 766–75.</w:t>
      </w:r>
    </w:p>
    <w:p w14:paraId="7F720D9F" w14:textId="77777777" w:rsidR="00883310" w:rsidRDefault="00000000">
      <w:pPr>
        <w:pStyle w:val="BodyText"/>
      </w:pPr>
      <w:bookmarkStart w:id="42" w:name="ref-WooEtAl2025"/>
      <w:bookmarkEnd w:id="41"/>
      <w:r>
        <w:t xml:space="preserve">Woo, Byung-Deuk, Hyein Ko, Yuehong Cassandra Tai, Yue Hu, and Frederick Solt. 2025. “Public Support for Gay Rights Across Countries and Over Time.” </w:t>
      </w:r>
      <w:r>
        <w:rPr>
          <w:i/>
          <w:iCs/>
        </w:rPr>
        <w:t>Social Science Quarterly</w:t>
      </w:r>
      <w:r>
        <w:t xml:space="preserve"> 106(1): e13478.</w:t>
      </w:r>
    </w:p>
    <w:p w14:paraId="55817669" w14:textId="77777777" w:rsidR="00883310" w:rsidRDefault="00000000">
      <w:pPr>
        <w:pStyle w:val="BodyText"/>
      </w:pPr>
      <w:bookmarkStart w:id="43" w:name="ref-WysmulekEtAl2022"/>
      <w:bookmarkEnd w:id="42"/>
      <w:r>
        <w:t xml:space="preserve">Wysmułek, Ilona, Irina Tomescu-Dubrow, and Joonghyun Kwak. 2022. “Ex-Post Harmonization of Cross-National Survey Data: Advances in Methodological and Substantive Inquiries.” </w:t>
      </w:r>
      <w:r>
        <w:rPr>
          <w:i/>
          <w:iCs/>
        </w:rPr>
        <w:t>Quality &amp; Quantity</w:t>
      </w:r>
      <w:r>
        <w:t xml:space="preserve"> 56(3): 1701–8.</w:t>
      </w:r>
    </w:p>
    <w:p w14:paraId="3281ACDB" w14:textId="68D5170A" w:rsidR="00883310" w:rsidRDefault="00883310">
      <w:pPr>
        <w:pStyle w:val="BodyText"/>
      </w:pPr>
      <w:bookmarkStart w:id="44" w:name="references-1"/>
      <w:bookmarkStart w:id="45" w:name="refs-appendix"/>
      <w:bookmarkStart w:id="46" w:name="ref-SoltEtAl2019"/>
      <w:bookmarkEnd w:id="9"/>
      <w:bookmarkEnd w:id="11"/>
      <w:bookmarkEnd w:id="43"/>
    </w:p>
    <w:p w14:paraId="67041558" w14:textId="2AB03ED6" w:rsidR="0045781A" w:rsidRDefault="0045781A" w:rsidP="0045781A">
      <w:pPr>
        <w:pStyle w:val="BodyText"/>
      </w:pPr>
      <w:r>
        <w:t xml:space="preserve">&lt; </w:t>
      </w:r>
      <w:r w:rsidR="0049213B">
        <w:t xml:space="preserve">figure number&gt;: </w:t>
      </w:r>
      <w:r>
        <w:t>Figure 1</w:t>
      </w:r>
    </w:p>
    <w:p w14:paraId="55A5D261" w14:textId="46676AD6" w:rsidR="0049213B" w:rsidRDefault="0049213B" w:rsidP="0045781A">
      <w:pPr>
        <w:pStyle w:val="BodyText"/>
      </w:pPr>
      <w:r>
        <w:t xml:space="preserve">&lt; figure title &gt;:  Income Inequality Observations by Method of Collection </w:t>
      </w:r>
      <w:r w:rsidR="0045781A">
        <w:t xml:space="preserve"> </w:t>
      </w:r>
    </w:p>
    <w:p w14:paraId="5E5181B3" w14:textId="77777777" w:rsidR="002812CB" w:rsidRDefault="002812CB" w:rsidP="0045781A">
      <w:pPr>
        <w:pStyle w:val="BodyText"/>
      </w:pPr>
    </w:p>
    <w:p w14:paraId="772C4864" w14:textId="77777777" w:rsidR="0049213B" w:rsidRDefault="0049213B" w:rsidP="0045781A">
      <w:pPr>
        <w:pStyle w:val="BodyText"/>
      </w:pPr>
      <w:r>
        <w:t>&lt; figure number&gt;: Figure 2</w:t>
      </w:r>
    </w:p>
    <w:p w14:paraId="40492EB0" w14:textId="77777777" w:rsidR="0049213B" w:rsidRDefault="0049213B" w:rsidP="0045781A">
      <w:pPr>
        <w:pStyle w:val="BodyText"/>
      </w:pPr>
      <w:r>
        <w:t xml:space="preserve">&lt; figure title &gt;:  The TAO of Data Wrangling Before Data Harmonization. </w:t>
      </w:r>
    </w:p>
    <w:p w14:paraId="0053F8C3" w14:textId="22B46825" w:rsidR="0049213B" w:rsidRDefault="0049213B" w:rsidP="0045781A">
      <w:pPr>
        <w:pStyle w:val="BodyText"/>
      </w:pPr>
      <w:r>
        <w:t>&lt;figure notes&gt;:  Source: Authors’ original figure.</w:t>
      </w:r>
      <w:bookmarkEnd w:id="44"/>
      <w:bookmarkEnd w:id="45"/>
      <w:bookmarkEnd w:id="46"/>
    </w:p>
    <w:sectPr w:rsidR="0049213B">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99D06" w14:textId="77777777" w:rsidR="00AF60C2" w:rsidRDefault="00AF60C2">
      <w:pPr>
        <w:spacing w:after="0"/>
      </w:pPr>
      <w:r>
        <w:separator/>
      </w:r>
    </w:p>
  </w:endnote>
  <w:endnote w:type="continuationSeparator" w:id="0">
    <w:p w14:paraId="0DB12AAB" w14:textId="77777777" w:rsidR="00AF60C2" w:rsidRDefault="00AF60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3F0FC" w14:textId="77777777" w:rsidR="00AF60C2" w:rsidRDefault="00AF60C2">
      <w:pPr>
        <w:spacing w:after="0"/>
      </w:pPr>
      <w:r>
        <w:separator/>
      </w:r>
    </w:p>
  </w:footnote>
  <w:footnote w:type="continuationSeparator" w:id="0">
    <w:p w14:paraId="2AE01C80" w14:textId="77777777" w:rsidR="00AF60C2" w:rsidRDefault="00AF60C2">
      <w:pPr>
        <w:spacing w:after="0"/>
      </w:pPr>
      <w:r>
        <w:continuationSeparator/>
      </w:r>
    </w:p>
  </w:footnote>
  <w:footnote w:id="1">
    <w:p w14:paraId="0F7BD111" w14:textId="316365E6" w:rsidR="00883310" w:rsidRDefault="00883310">
      <w:pPr>
        <w:pStyle w:val="FootnoteText"/>
      </w:pPr>
    </w:p>
  </w:footnote>
  <w:footnote w:id="2">
    <w:p w14:paraId="1C103F9C" w14:textId="081F6F91" w:rsidR="00883310" w:rsidRDefault="00883310">
      <w:pPr>
        <w:pStyle w:val="FootnoteText"/>
      </w:pPr>
    </w:p>
  </w:footnote>
  <w:footnote w:id="3">
    <w:p w14:paraId="05B2BC2E" w14:textId="50510731" w:rsidR="0045781A" w:rsidRDefault="0045781A">
      <w:pPr>
        <w:pStyle w:val="FootnoteText"/>
      </w:pPr>
    </w:p>
  </w:footnote>
  <w:footnote w:id="4">
    <w:p w14:paraId="5EAE8D55" w14:textId="222A0407" w:rsidR="00883310" w:rsidRDefault="00883310">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0696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8A44F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1440CCF"/>
    <w:multiLevelType w:val="multilevel"/>
    <w:tmpl w:val="4BE27B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83641497">
    <w:abstractNumId w:val="0"/>
  </w:num>
  <w:num w:numId="2" w16cid:durableId="1784113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6444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69325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3310"/>
    <w:rsid w:val="0002561C"/>
    <w:rsid w:val="000D56E1"/>
    <w:rsid w:val="001742D5"/>
    <w:rsid w:val="00191668"/>
    <w:rsid w:val="00221A9C"/>
    <w:rsid w:val="002812CB"/>
    <w:rsid w:val="00341274"/>
    <w:rsid w:val="0045781A"/>
    <w:rsid w:val="0046092B"/>
    <w:rsid w:val="0049213B"/>
    <w:rsid w:val="005508BF"/>
    <w:rsid w:val="00596859"/>
    <w:rsid w:val="0070718D"/>
    <w:rsid w:val="00883310"/>
    <w:rsid w:val="009E57BB"/>
    <w:rsid w:val="00AF60C2"/>
    <w:rsid w:val="00C95BBB"/>
    <w:rsid w:val="00CC1DA5"/>
    <w:rsid w:val="00CF1DB1"/>
    <w:rsid w:val="00D97FA2"/>
    <w:rsid w:val="00DA35A3"/>
    <w:rsid w:val="00E53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B20EF2"/>
  <w15:docId w15:val="{F457C5A1-9872-7E41-9207-3866E6282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UnresolvedMention">
    <w:name w:val="Unresolved Mention"/>
    <w:basedOn w:val="DefaultParagraphFont"/>
    <w:uiPriority w:val="99"/>
    <w:semiHidden/>
    <w:unhideWhenUsed/>
    <w:rsid w:val="001742D5"/>
    <w:rPr>
      <w:color w:val="605E5C"/>
      <w:shd w:val="clear" w:color="auto" w:fill="E1DFDD"/>
    </w:rPr>
  </w:style>
  <w:style w:type="paragraph" w:styleId="EndnoteText">
    <w:name w:val="endnote text"/>
    <w:basedOn w:val="Normal"/>
    <w:link w:val="EndnoteTextChar"/>
    <w:rsid w:val="00341274"/>
    <w:pPr>
      <w:spacing w:after="0"/>
    </w:pPr>
    <w:rPr>
      <w:sz w:val="20"/>
      <w:szCs w:val="20"/>
    </w:rPr>
  </w:style>
  <w:style w:type="character" w:customStyle="1" w:styleId="EndnoteTextChar">
    <w:name w:val="Endnote Text Char"/>
    <w:basedOn w:val="DefaultParagraphFont"/>
    <w:link w:val="EndnoteText"/>
    <w:rsid w:val="00341274"/>
    <w:rPr>
      <w:sz w:val="20"/>
      <w:szCs w:val="20"/>
    </w:rPr>
  </w:style>
  <w:style w:type="character" w:styleId="EndnoteReference">
    <w:name w:val="endnote reference"/>
    <w:basedOn w:val="DefaultParagraphFont"/>
    <w:rsid w:val="00341274"/>
    <w:rPr>
      <w:vertAlign w:val="superscript"/>
    </w:rPr>
  </w:style>
  <w:style w:type="character" w:styleId="Emphasis">
    <w:name w:val="Emphasis"/>
    <w:basedOn w:val="DefaultParagraphFont"/>
    <w:uiPriority w:val="20"/>
    <w:qFormat/>
    <w:rsid w:val="009E57BB"/>
    <w:rPr>
      <w:i/>
      <w:iCs/>
    </w:rPr>
  </w:style>
  <w:style w:type="character" w:styleId="FollowedHyperlink">
    <w:name w:val="FollowedHyperlink"/>
    <w:basedOn w:val="DefaultParagraphFont"/>
    <w:rsid w:val="00CF1D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ehu@tsinghua.edu.cn" TargetMode="External"/><Relationship Id="rId13" Type="http://schemas.openxmlformats.org/officeDocument/2006/relationships/hyperlink" Target="https://doi.org/10.7910/DVN/MBDB0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fsolt/DCPOtool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fsolt/DCPOtoo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cpo.org/" TargetMode="External"/><Relationship Id="rId5" Type="http://schemas.openxmlformats.org/officeDocument/2006/relationships/webSettings" Target="webSettings.xml"/><Relationship Id="rId15" Type="http://schemas.openxmlformats.org/officeDocument/2006/relationships/hyperlink" Target="https://doi.org/10.7910/DVN/MBDB0P" TargetMode="External"/><Relationship Id="rId10" Type="http://schemas.openxmlformats.org/officeDocument/2006/relationships/hyperlink" Target="mailto:frederick-solt@uiowa.edu" TargetMode="External"/><Relationship Id="rId4" Type="http://schemas.openxmlformats.org/officeDocument/2006/relationships/settings" Target="settings.xml"/><Relationship Id="rId9" Type="http://schemas.openxmlformats.org/officeDocument/2006/relationships/hyperlink" Target="mailto:yhcasstai@psu.edu" TargetMode="External"/><Relationship Id="rId14" Type="http://schemas.openxmlformats.org/officeDocument/2006/relationships/hyperlink" Target="https://github.com/fsolt/wrangling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16A72-51F6-014E-8218-80B043D2A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12</Pages>
  <Words>4052</Words>
  <Characters>25001</Characters>
  <Application>Microsoft Office Word</Application>
  <DocSecurity>0</DocSecurity>
  <Lines>500</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Yue Hu; Yuehong Cassandra Tai; Frederick Solt</dc:creator>
  <cp:keywords>Data generation process, Machine assistance, Manual coding, Data cleaning, Data management</cp:keywords>
  <cp:lastModifiedBy>Tai, Yuehong Cassandra</cp:lastModifiedBy>
  <cp:revision>8</cp:revision>
  <dcterms:created xsi:type="dcterms:W3CDTF">2026-02-28T19:18:00Z</dcterms:created>
  <dcterms:modified xsi:type="dcterms:W3CDTF">2026-03-01T01:28:00Z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olorlinks">
    <vt:lpwstr>False</vt:lpwstr>
  </property>
  <property fmtid="{D5CDD505-2E9C-101B-9397-08002B2CF9AE}" pid="9" name="csl">
    <vt:lpwstr>american-political-science-review.csl</vt:lpwstr>
  </property>
  <property fmtid="{D5CDD505-2E9C-101B-9397-08002B2CF9AE}" pid="10" name="editor">
    <vt:lpwstr/>
  </property>
  <property fmtid="{D5CDD505-2E9C-101B-9397-08002B2CF9AE}" pid="11" name="editor_options">
    <vt:lpwstr/>
  </property>
  <property fmtid="{D5CDD505-2E9C-101B-9397-08002B2CF9AE}" pid="12" name="execute">
    <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indent">
    <vt:lpwstr>True</vt:lpwstr>
  </property>
  <property fmtid="{D5CDD505-2E9C-101B-9397-08002B2CF9AE}" pid="19" name="labels">
    <vt:lpwstr/>
  </property>
  <property fmtid="{D5CDD505-2E9C-101B-9397-08002B2CF9AE}" pid="20" name="linestretch">
    <vt:lpwstr>1.5</vt:lpwstr>
  </property>
  <property fmtid="{D5CDD505-2E9C-101B-9397-08002B2CF9AE}" pid="21" name="link-citations">
    <vt:lpwstr>True</vt:lpwstr>
  </property>
  <property fmtid="{D5CDD505-2E9C-101B-9397-08002B2CF9AE}" pid="22" name="tables">
    <vt:lpwstr>True</vt:lpwstr>
  </property>
  <property fmtid="{D5CDD505-2E9C-101B-9397-08002B2CF9AE}" pid="23" name="toc-title">
    <vt:lpwstr>Table of contents</vt:lpwstr>
  </property>
</Properties>
</file>