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AE260" w14:textId="77777777" w:rsidR="00F33996" w:rsidRPr="00997B66" w:rsidRDefault="00F33996" w:rsidP="00F33996">
      <w:pPr>
        <w:spacing w:after="432" w:line="240" w:lineRule="auto"/>
        <w:jc w:val="center"/>
        <w:outlineLvl w:val="0"/>
        <w:rPr>
          <w:rFonts w:ascii="Lato" w:eastAsia="Times New Roman" w:hAnsi="Lato" w:cs="Times New Roman"/>
          <w:b/>
          <w:bCs/>
          <w:kern w:val="36"/>
          <w:sz w:val="56"/>
          <w:szCs w:val="56"/>
          <w:lang w:eastAsia="en-GB"/>
          <w14:ligatures w14:val="none"/>
        </w:rPr>
      </w:pPr>
      <w:r w:rsidRPr="00997B66">
        <w:rPr>
          <w:rFonts w:ascii="Lato" w:eastAsia="Times New Roman" w:hAnsi="Lato" w:cs="Times New Roman"/>
          <w:b/>
          <w:bCs/>
          <w:kern w:val="36"/>
          <w:sz w:val="56"/>
          <w:szCs w:val="56"/>
          <w:lang w:eastAsia="en-GB"/>
          <w14:ligatures w14:val="none"/>
        </w:rPr>
        <w:t>Local energy communities and self-consumption clusters in Switzerland</w:t>
      </w:r>
    </w:p>
    <w:p w14:paraId="067B40B0" w14:textId="77777777" w:rsidR="00F33996" w:rsidRPr="00997B66" w:rsidRDefault="00F33996" w:rsidP="00F33996">
      <w:pPr>
        <w:spacing w:before="288" w:after="288" w:line="240" w:lineRule="auto"/>
        <w:jc w:val="both"/>
        <w:rPr>
          <w:rFonts w:ascii="Lato" w:eastAsia="Times New Roman" w:hAnsi="Lato" w:cs="Times New Roman"/>
          <w:kern w:val="0"/>
          <w:sz w:val="28"/>
          <w:szCs w:val="28"/>
          <w:lang w:eastAsia="en-GB"/>
          <w14:ligatures w14:val="none"/>
        </w:rPr>
      </w:pPr>
      <w:r w:rsidRPr="00997B66">
        <w:rPr>
          <w:rFonts w:ascii="Lato" w:eastAsia="Times New Roman" w:hAnsi="Lato" w:cs="Times New Roman"/>
          <w:kern w:val="0"/>
          <w:sz w:val="28"/>
          <w:szCs w:val="28"/>
          <w:lang w:eastAsia="en-GB"/>
          <w14:ligatures w14:val="none"/>
        </w:rPr>
        <w:t>The Swiss laws define two constructs to incentivize the self-consumption of locally generated renewable electricity: self-consumption clusters and local energy communities. These constructs differ for extension and type of connection to the power grid.</w:t>
      </w:r>
    </w:p>
    <w:p w14:paraId="416D622D" w14:textId="77777777" w:rsidR="00F33996" w:rsidRPr="00997B66" w:rsidRDefault="00F33996" w:rsidP="00F33996">
      <w:pPr>
        <w:spacing w:before="432" w:after="432" w:line="240" w:lineRule="auto"/>
        <w:jc w:val="both"/>
        <w:outlineLvl w:val="1"/>
        <w:rPr>
          <w:rFonts w:ascii="Lato" w:eastAsia="Times New Roman" w:hAnsi="Lato" w:cs="Times New Roman"/>
          <w:b/>
          <w:bCs/>
          <w:kern w:val="0"/>
          <w:sz w:val="36"/>
          <w:szCs w:val="36"/>
          <w:lang w:eastAsia="en-GB"/>
          <w14:ligatures w14:val="none"/>
        </w:rPr>
      </w:pPr>
      <w:r w:rsidRPr="00997B66">
        <w:rPr>
          <w:rFonts w:ascii="Lato" w:eastAsia="Times New Roman" w:hAnsi="Lato" w:cs="Times New Roman"/>
          <w:b/>
          <w:bCs/>
          <w:kern w:val="0"/>
          <w:sz w:val="36"/>
          <w:szCs w:val="36"/>
          <w:lang w:eastAsia="en-GB"/>
          <w14:ligatures w14:val="none"/>
        </w:rPr>
        <w:t>Self-consumption clusters and virtual self-consumption clusters</w:t>
      </w:r>
    </w:p>
    <w:p w14:paraId="0BD4B1B0" w14:textId="1831D71A" w:rsidR="00F33996" w:rsidRPr="00997B66" w:rsidRDefault="00F33996" w:rsidP="00F33996">
      <w:pPr>
        <w:spacing w:before="288" w:after="288" w:line="240" w:lineRule="auto"/>
        <w:jc w:val="both"/>
        <w:rPr>
          <w:rFonts w:ascii="Lato" w:eastAsia="Times New Roman" w:hAnsi="Lato" w:cs="Times New Roman"/>
          <w:kern w:val="0"/>
          <w:sz w:val="28"/>
          <w:szCs w:val="28"/>
          <w:lang w:eastAsia="en-GB"/>
          <w14:ligatures w14:val="none"/>
        </w:rPr>
      </w:pPr>
      <w:r w:rsidRPr="00997B66">
        <w:rPr>
          <w:rFonts w:ascii="Lato" w:eastAsia="Times New Roman" w:hAnsi="Lato" w:cs="Times New Roman"/>
          <w:kern w:val="0"/>
          <w:sz w:val="28"/>
          <w:szCs w:val="28"/>
          <w:lang w:eastAsia="en-GB"/>
          <w14:ligatures w14:val="none"/>
        </w:rPr>
        <w:t xml:space="preserve">The notion of self-consumption cluster applies to consumers and renewable generation assets connected behind a single grid connection point. In a traditional setting, each resource would have a separate meter and billing contract with the utility; self-consumption clusters make it possible for consumers to access the local renewable generation at a price directly negotiated with the generator’s owner, avoiding being billed for the retail electricity price offered by the utility. This construct applies to any renewable generation source provided that the production capacity is at least 10% of total nominal power demand and with at least 500 hours of working time per year. </w:t>
      </w:r>
    </w:p>
    <w:p w14:paraId="36C8E6BF" w14:textId="1371AA79" w:rsidR="00F33996" w:rsidRPr="00997B66" w:rsidRDefault="00F33996" w:rsidP="00F33996">
      <w:pPr>
        <w:spacing w:before="288" w:after="288" w:line="240" w:lineRule="auto"/>
        <w:jc w:val="center"/>
        <w:rPr>
          <w:rFonts w:ascii="Lato" w:eastAsia="Times New Roman" w:hAnsi="Lato" w:cs="Times New Roman"/>
          <w:kern w:val="0"/>
          <w:sz w:val="28"/>
          <w:szCs w:val="28"/>
          <w:lang w:eastAsia="en-GB"/>
          <w14:ligatures w14:val="none"/>
        </w:rPr>
      </w:pPr>
      <w:r w:rsidRPr="00997B66">
        <w:rPr>
          <w:rFonts w:ascii="Lato" w:eastAsia="Times New Roman" w:hAnsi="Lato" w:cs="Times New Roman"/>
          <w:noProof/>
          <w:kern w:val="0"/>
          <w:sz w:val="28"/>
          <w:szCs w:val="28"/>
          <w:lang w:eastAsia="en-GB"/>
        </w:rPr>
        <w:drawing>
          <wp:inline distT="0" distB="0" distL="0" distR="0" wp14:anchorId="0AA595B7" wp14:editId="74DDAAA2">
            <wp:extent cx="6096000" cy="3314100"/>
            <wp:effectExtent l="0" t="0" r="0" b="635"/>
            <wp:docPr id="175837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75328" name="Picture 17583753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6560" cy="3330714"/>
                    </a:xfrm>
                    <a:prstGeom prst="rect">
                      <a:avLst/>
                    </a:prstGeom>
                  </pic:spPr>
                </pic:pic>
              </a:graphicData>
            </a:graphic>
          </wp:inline>
        </w:drawing>
      </w:r>
    </w:p>
    <w:p w14:paraId="2BCCCAFF" w14:textId="77777777" w:rsidR="00F33996" w:rsidRPr="00997B66" w:rsidRDefault="00F33996" w:rsidP="00F33996">
      <w:pPr>
        <w:spacing w:before="432" w:after="432" w:line="240" w:lineRule="auto"/>
        <w:jc w:val="both"/>
        <w:outlineLvl w:val="1"/>
        <w:rPr>
          <w:rFonts w:ascii="Lato" w:eastAsia="Times New Roman" w:hAnsi="Lato" w:cs="Times New Roman"/>
          <w:kern w:val="0"/>
          <w:sz w:val="28"/>
          <w:szCs w:val="28"/>
          <w:lang w:eastAsia="en-GB"/>
          <w14:ligatures w14:val="none"/>
        </w:rPr>
      </w:pPr>
      <w:r w:rsidRPr="00997B66">
        <w:rPr>
          <w:rFonts w:ascii="Lato" w:eastAsia="Times New Roman" w:hAnsi="Lato" w:cs="Times New Roman"/>
          <w:kern w:val="0"/>
          <w:sz w:val="28"/>
          <w:szCs w:val="28"/>
          <w:lang w:eastAsia="en-GB"/>
          <w14:ligatures w14:val="none"/>
        </w:rPr>
        <w:t>Starting from January 1, 2025, self-consumption clusters extend to resources connected at different points of the grid below 1 kV, implying that the size of the cluster can be extended by using the low-voltage electrical connection of the distribution system operator. This is known as virtual self-consumption clusters.</w:t>
      </w:r>
    </w:p>
    <w:p w14:paraId="1585C990" w14:textId="5709BE0D" w:rsidR="00F33996" w:rsidRPr="00997B66" w:rsidRDefault="00F33996" w:rsidP="00F33996">
      <w:pPr>
        <w:spacing w:before="432" w:after="432" w:line="240" w:lineRule="auto"/>
        <w:jc w:val="both"/>
        <w:outlineLvl w:val="1"/>
        <w:rPr>
          <w:rFonts w:ascii="Lato" w:eastAsia="Times New Roman" w:hAnsi="Lato" w:cs="Times New Roman"/>
          <w:b/>
          <w:bCs/>
          <w:kern w:val="0"/>
          <w:sz w:val="36"/>
          <w:szCs w:val="36"/>
          <w:lang w:eastAsia="en-GB"/>
          <w14:ligatures w14:val="none"/>
        </w:rPr>
      </w:pPr>
      <w:r w:rsidRPr="00997B66">
        <w:rPr>
          <w:rFonts w:ascii="Lato" w:eastAsia="Times New Roman" w:hAnsi="Lato" w:cs="Times New Roman"/>
          <w:b/>
          <w:bCs/>
          <w:kern w:val="0"/>
          <w:sz w:val="36"/>
          <w:szCs w:val="36"/>
          <w:lang w:eastAsia="en-GB"/>
          <w14:ligatures w14:val="none"/>
        </w:rPr>
        <w:t>Local energy communities</w:t>
      </w:r>
    </w:p>
    <w:p w14:paraId="165B68F2" w14:textId="77777777" w:rsidR="00F33996" w:rsidRPr="00997B66" w:rsidRDefault="00F33996" w:rsidP="00F33996">
      <w:pPr>
        <w:spacing w:before="288" w:after="288" w:line="240" w:lineRule="auto"/>
        <w:jc w:val="both"/>
        <w:rPr>
          <w:rFonts w:ascii="Lato" w:eastAsia="Times New Roman" w:hAnsi="Lato" w:cs="Times New Roman"/>
          <w:kern w:val="0"/>
          <w:sz w:val="28"/>
          <w:szCs w:val="28"/>
          <w:lang w:eastAsia="en-GB"/>
          <w14:ligatures w14:val="none"/>
        </w:rPr>
      </w:pPr>
      <w:r w:rsidRPr="00997B66">
        <w:rPr>
          <w:rFonts w:ascii="Lato" w:eastAsia="Times New Roman" w:hAnsi="Lato" w:cs="Times New Roman"/>
          <w:kern w:val="0"/>
          <w:sz w:val="28"/>
          <w:szCs w:val="28"/>
          <w:lang w:eastAsia="en-GB"/>
          <w14:ligatures w14:val="none"/>
        </w:rPr>
        <w:t>Similarly to the self-consumption clusters, local energy communities allow consumers to access cheaper local electricity by avoiding direct billing through individual utility power meters. However, while self-consumption clusters apply to consumers behind a single grid connection point (such as a building) or connected to the same low-voltage feeder, local energy communities extend to multiple grid connection points, explicitly envisaging the use of the distribution grid infrastructure, including medium-voltage, to enable the transfer of power at different locations. Local energy communities cannot extend to areas larger than a municipality; moreover, all connected consumers and producers should be on the same grid level and reasonably close to each other. The installed generation capacity should be at least 20% of the total demand.</w:t>
      </w:r>
    </w:p>
    <w:p w14:paraId="143FEEAB" w14:textId="47C49136" w:rsidR="00991B14" w:rsidRPr="00997B66" w:rsidRDefault="00991B14" w:rsidP="00991B14">
      <w:pPr>
        <w:spacing w:before="288" w:after="288" w:line="240" w:lineRule="auto"/>
        <w:jc w:val="center"/>
        <w:rPr>
          <w:rFonts w:ascii="Lato" w:eastAsia="Times New Roman" w:hAnsi="Lato" w:cs="Times New Roman"/>
          <w:kern w:val="0"/>
          <w:sz w:val="28"/>
          <w:szCs w:val="28"/>
          <w:lang w:eastAsia="en-GB"/>
          <w14:ligatures w14:val="none"/>
        </w:rPr>
      </w:pPr>
      <w:r w:rsidRPr="00997B66">
        <w:rPr>
          <w:rFonts w:ascii="Lato" w:eastAsia="Times New Roman" w:hAnsi="Lato" w:cs="Times New Roman"/>
          <w:noProof/>
          <w:kern w:val="0"/>
          <w:sz w:val="28"/>
          <w:szCs w:val="28"/>
          <w:lang w:eastAsia="en-GB"/>
        </w:rPr>
        <w:drawing>
          <wp:inline distT="0" distB="0" distL="0" distR="0" wp14:anchorId="5B03AEDD" wp14:editId="69EAB210">
            <wp:extent cx="6094800" cy="2911000"/>
            <wp:effectExtent l="0" t="0" r="1270" b="0"/>
            <wp:docPr id="173635215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52152"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94800" cy="2911000"/>
                    </a:xfrm>
                    <a:prstGeom prst="rect">
                      <a:avLst/>
                    </a:prstGeom>
                  </pic:spPr>
                </pic:pic>
              </a:graphicData>
            </a:graphic>
          </wp:inline>
        </w:drawing>
      </w:r>
    </w:p>
    <w:p w14:paraId="34A9CFCA" w14:textId="4FCA0777" w:rsidR="00F33996" w:rsidRPr="00997B66" w:rsidRDefault="00F33996" w:rsidP="00F33996">
      <w:pPr>
        <w:spacing w:before="288" w:after="288" w:line="240" w:lineRule="auto"/>
        <w:jc w:val="both"/>
        <w:rPr>
          <w:rFonts w:ascii="Lato" w:eastAsia="Times New Roman" w:hAnsi="Lato" w:cs="Times New Roman"/>
          <w:kern w:val="0"/>
          <w:sz w:val="28"/>
          <w:szCs w:val="28"/>
          <w:lang w:eastAsia="en-GB"/>
          <w14:ligatures w14:val="none"/>
        </w:rPr>
      </w:pPr>
      <w:r w:rsidRPr="00997B66">
        <w:rPr>
          <w:rFonts w:ascii="Lato" w:eastAsia="Times New Roman" w:hAnsi="Lato" w:cs="Times New Roman"/>
          <w:kern w:val="0"/>
          <w:sz w:val="28"/>
          <w:szCs w:val="28"/>
          <w:lang w:eastAsia="en-GB"/>
          <w14:ligatures w14:val="none"/>
        </w:rPr>
        <w:t xml:space="preserve">Within the local energy community, electricity is traded according to rules and tariffs that are established internally. To account for the utilization of the grid infrastructure, distribution system operators will still apply grid tariffs, but </w:t>
      </w:r>
      <w:r w:rsidR="00991B14" w:rsidRPr="00997B66">
        <w:rPr>
          <w:rFonts w:ascii="Lato" w:eastAsia="Times New Roman" w:hAnsi="Lato" w:cs="Times New Roman"/>
          <w:kern w:val="0"/>
          <w:sz w:val="28"/>
          <w:szCs w:val="28"/>
          <w:lang w:eastAsia="en-GB"/>
          <w14:ligatures w14:val="none"/>
        </w:rPr>
        <w:t>with a cost reduction of</w:t>
      </w:r>
      <w:r w:rsidRPr="00997B66">
        <w:rPr>
          <w:rFonts w:ascii="Lato" w:eastAsia="Times New Roman" w:hAnsi="Lato" w:cs="Times New Roman"/>
          <w:kern w:val="0"/>
          <w:sz w:val="28"/>
          <w:szCs w:val="28"/>
          <w:lang w:eastAsia="en-GB"/>
          <w14:ligatures w14:val="none"/>
        </w:rPr>
        <w:t xml:space="preserve"> up to 60%.</w:t>
      </w:r>
    </w:p>
    <w:p w14:paraId="68502C06" w14:textId="77777777" w:rsidR="00F33996" w:rsidRPr="00997B66" w:rsidRDefault="00F33996" w:rsidP="00F33996">
      <w:pPr>
        <w:spacing w:before="432" w:after="432" w:line="240" w:lineRule="auto"/>
        <w:jc w:val="both"/>
        <w:outlineLvl w:val="1"/>
        <w:rPr>
          <w:rFonts w:ascii="Lato" w:eastAsia="Times New Roman" w:hAnsi="Lato" w:cs="Times New Roman"/>
          <w:b/>
          <w:bCs/>
          <w:kern w:val="0"/>
          <w:sz w:val="36"/>
          <w:szCs w:val="36"/>
          <w:lang w:eastAsia="en-GB"/>
          <w14:ligatures w14:val="none"/>
        </w:rPr>
      </w:pPr>
      <w:r w:rsidRPr="00997B66">
        <w:rPr>
          <w:rFonts w:ascii="Lato" w:eastAsia="Times New Roman" w:hAnsi="Lato" w:cs="Times New Roman"/>
          <w:b/>
          <w:bCs/>
          <w:kern w:val="0"/>
          <w:sz w:val="36"/>
          <w:szCs w:val="36"/>
          <w:lang w:eastAsia="en-GB"/>
          <w14:ligatures w14:val="none"/>
        </w:rPr>
        <w:t>Closing remarks</w:t>
      </w:r>
    </w:p>
    <w:p w14:paraId="66B5CCF3" w14:textId="77777777" w:rsidR="00F33996" w:rsidRPr="00997B66" w:rsidRDefault="00F33996" w:rsidP="00F33996">
      <w:pPr>
        <w:spacing w:before="432" w:after="432" w:line="240" w:lineRule="auto"/>
        <w:jc w:val="both"/>
        <w:outlineLvl w:val="2"/>
        <w:rPr>
          <w:rFonts w:ascii="Lato" w:eastAsia="Times New Roman" w:hAnsi="Lato" w:cs="Times New Roman"/>
          <w:b/>
          <w:bCs/>
          <w:kern w:val="0"/>
          <w:sz w:val="28"/>
          <w:szCs w:val="28"/>
          <w:lang w:eastAsia="en-GB"/>
          <w14:ligatures w14:val="none"/>
        </w:rPr>
      </w:pPr>
      <w:r w:rsidRPr="00997B66">
        <w:rPr>
          <w:rFonts w:ascii="Lato" w:eastAsia="Times New Roman" w:hAnsi="Lato" w:cs="Times New Roman"/>
          <w:b/>
          <w:bCs/>
          <w:kern w:val="0"/>
          <w:sz w:val="28"/>
          <w:szCs w:val="28"/>
          <w:lang w:eastAsia="en-GB"/>
          <w14:ligatures w14:val="none"/>
        </w:rPr>
        <w:t>Benefits for consumers and local generators</w:t>
      </w:r>
    </w:p>
    <w:p w14:paraId="01006F75" w14:textId="49901DF3" w:rsidR="00F33996" w:rsidRPr="00997B66" w:rsidRDefault="00F33996" w:rsidP="00F33996">
      <w:pPr>
        <w:spacing w:before="288" w:after="288" w:line="240" w:lineRule="auto"/>
        <w:jc w:val="both"/>
        <w:rPr>
          <w:rFonts w:ascii="Lato" w:eastAsia="Times New Roman" w:hAnsi="Lato" w:cs="Times New Roman"/>
          <w:kern w:val="0"/>
          <w:sz w:val="28"/>
          <w:szCs w:val="28"/>
          <w:lang w:eastAsia="en-GB"/>
          <w14:ligatures w14:val="none"/>
        </w:rPr>
      </w:pPr>
      <w:r w:rsidRPr="00997B66">
        <w:rPr>
          <w:rFonts w:ascii="Lato" w:eastAsia="Times New Roman" w:hAnsi="Lato" w:cs="Times New Roman"/>
          <w:kern w:val="0"/>
          <w:sz w:val="28"/>
          <w:szCs w:val="28"/>
          <w:lang w:eastAsia="en-GB"/>
          <w14:ligatures w14:val="none"/>
        </w:rPr>
        <w:t>Clusters for self-consumption and local energy communities favor electricity consumers by allowing them to access cheaper renewable generation, avoiding being billed with the electricity retail price even when the electricity was from a nearby PV installation. These constructs are also advantageous for local renewable generators, which can negotiate with local consumers a more profitable remuneration scheme than what is offered by the utility.</w:t>
      </w:r>
    </w:p>
    <w:p w14:paraId="5EFA7610" w14:textId="7F4C2E14" w:rsidR="00F33996" w:rsidRPr="00997B66" w:rsidRDefault="00F33996" w:rsidP="00F33996">
      <w:pPr>
        <w:spacing w:before="288" w:after="288" w:line="240" w:lineRule="auto"/>
        <w:jc w:val="both"/>
        <w:rPr>
          <w:rFonts w:ascii="Lato" w:eastAsia="Times New Roman" w:hAnsi="Lato" w:cs="Times New Roman"/>
          <w:kern w:val="0"/>
          <w:sz w:val="28"/>
          <w:szCs w:val="28"/>
          <w:lang w:eastAsia="en-GB"/>
          <w14:ligatures w14:val="none"/>
        </w:rPr>
      </w:pPr>
      <w:r w:rsidRPr="00997B66">
        <w:rPr>
          <w:rFonts w:ascii="Lato" w:eastAsia="Times New Roman" w:hAnsi="Lato" w:cs="Times New Roman"/>
          <w:kern w:val="0"/>
          <w:sz w:val="28"/>
          <w:szCs w:val="28"/>
          <w:lang w:eastAsia="en-GB"/>
          <w14:ligatures w14:val="none"/>
        </w:rPr>
        <w:t>Implementing these constructs refers to re-arranging power measurements for billing purposes; they do not alter physical power flows or require the installation of additional electrical connections.</w:t>
      </w:r>
    </w:p>
    <w:p w14:paraId="510978DF" w14:textId="4990D408" w:rsidR="003F057A" w:rsidRPr="00997B66" w:rsidRDefault="00482475" w:rsidP="00482475">
      <w:pPr>
        <w:spacing w:before="432" w:after="432" w:line="240" w:lineRule="auto"/>
        <w:jc w:val="both"/>
        <w:outlineLvl w:val="2"/>
        <w:rPr>
          <w:rFonts w:ascii="Lato" w:eastAsia="Times New Roman" w:hAnsi="Lato" w:cs="Times New Roman"/>
          <w:kern w:val="0"/>
          <w:sz w:val="28"/>
          <w:szCs w:val="28"/>
          <w:lang w:eastAsia="en-GB"/>
          <w14:ligatures w14:val="none"/>
        </w:rPr>
      </w:pPr>
      <w:r w:rsidRPr="00997B66">
        <w:rPr>
          <w:rFonts w:ascii="Lato" w:eastAsia="Times New Roman" w:hAnsi="Lato" w:cs="Times New Roman"/>
          <w:kern w:val="0"/>
          <w:sz w:val="28"/>
          <w:szCs w:val="28"/>
          <w:lang w:eastAsia="en-GB"/>
          <w14:ligatures w14:val="none"/>
        </w:rPr>
        <w:t xml:space="preserve">Thanks to enabling access to </w:t>
      </w:r>
      <w:r w:rsidR="003F057A" w:rsidRPr="00997B66">
        <w:rPr>
          <w:rFonts w:ascii="Lato" w:eastAsia="Times New Roman" w:hAnsi="Lato" w:cs="Times New Roman"/>
          <w:kern w:val="0"/>
          <w:sz w:val="28"/>
          <w:szCs w:val="28"/>
          <w:lang w:eastAsia="en-GB"/>
          <w14:ligatures w14:val="none"/>
        </w:rPr>
        <w:t>more convenient</w:t>
      </w:r>
      <w:r w:rsidRPr="00997B66">
        <w:rPr>
          <w:rFonts w:ascii="Lato" w:eastAsia="Times New Roman" w:hAnsi="Lato" w:cs="Times New Roman"/>
          <w:kern w:val="0"/>
          <w:sz w:val="28"/>
          <w:szCs w:val="28"/>
          <w:lang w:eastAsia="en-GB"/>
          <w14:ligatures w14:val="none"/>
        </w:rPr>
        <w:t xml:space="preserve"> </w:t>
      </w:r>
      <w:r w:rsidR="003F057A" w:rsidRPr="00997B66">
        <w:rPr>
          <w:rFonts w:ascii="Lato" w:eastAsia="Times New Roman" w:hAnsi="Lato" w:cs="Times New Roman"/>
          <w:kern w:val="0"/>
          <w:sz w:val="28"/>
          <w:szCs w:val="28"/>
          <w:lang w:eastAsia="en-GB"/>
          <w14:ligatures w14:val="none"/>
        </w:rPr>
        <w:t>electricity</w:t>
      </w:r>
      <w:r w:rsidRPr="00997B66">
        <w:rPr>
          <w:rFonts w:ascii="Lato" w:eastAsia="Times New Roman" w:hAnsi="Lato" w:cs="Times New Roman"/>
          <w:kern w:val="0"/>
          <w:sz w:val="28"/>
          <w:szCs w:val="28"/>
          <w:lang w:eastAsia="en-GB"/>
          <w14:ligatures w14:val="none"/>
        </w:rPr>
        <w:t xml:space="preserve">, consumers </w:t>
      </w:r>
      <w:r w:rsidR="00F17B74" w:rsidRPr="00997B66">
        <w:rPr>
          <w:rFonts w:ascii="Lato" w:eastAsia="Times New Roman" w:hAnsi="Lato" w:cs="Times New Roman"/>
          <w:kern w:val="0"/>
          <w:sz w:val="28"/>
          <w:szCs w:val="28"/>
          <w:lang w:eastAsia="en-GB"/>
          <w14:ligatures w14:val="none"/>
        </w:rPr>
        <w:t>will</w:t>
      </w:r>
      <w:r w:rsidRPr="00997B66">
        <w:rPr>
          <w:rFonts w:ascii="Lato" w:eastAsia="Times New Roman" w:hAnsi="Lato" w:cs="Times New Roman"/>
          <w:kern w:val="0"/>
          <w:sz w:val="28"/>
          <w:szCs w:val="28"/>
          <w:lang w:eastAsia="en-GB"/>
          <w14:ligatures w14:val="none"/>
        </w:rPr>
        <w:t xml:space="preserve"> benefit from shifting their electricity consumption to times when (cheap) local renewable generation is available. Consumption shifting can be achieved by changing habits or</w:t>
      </w:r>
      <w:r w:rsidR="003F057A" w:rsidRPr="00997B66">
        <w:rPr>
          <w:rFonts w:ascii="Lato" w:eastAsia="Times New Roman" w:hAnsi="Lato" w:cs="Times New Roman"/>
          <w:kern w:val="0"/>
          <w:sz w:val="28"/>
          <w:szCs w:val="28"/>
          <w:lang w:eastAsia="en-GB"/>
          <w14:ligatures w14:val="none"/>
        </w:rPr>
        <w:t xml:space="preserve">, more effectively, for loads offering communication interfaces and some degree of controllability (such as electric vehicle chargers or heat pumps), with </w:t>
      </w:r>
      <w:r w:rsidR="00F17B74" w:rsidRPr="00997B66">
        <w:rPr>
          <w:rFonts w:ascii="Lato" w:eastAsia="Times New Roman" w:hAnsi="Lato" w:cs="Times New Roman"/>
          <w:kern w:val="0"/>
          <w:sz w:val="28"/>
          <w:szCs w:val="28"/>
          <w:lang w:eastAsia="en-GB"/>
          <w14:ligatures w14:val="none"/>
        </w:rPr>
        <w:t>automatic</w:t>
      </w:r>
      <w:r w:rsidR="003F057A" w:rsidRPr="00997B66">
        <w:rPr>
          <w:rFonts w:ascii="Lato" w:eastAsia="Times New Roman" w:hAnsi="Lato" w:cs="Times New Roman"/>
          <w:kern w:val="0"/>
          <w:sz w:val="28"/>
          <w:szCs w:val="28"/>
          <w:lang w:eastAsia="en-GB"/>
          <w14:ligatures w14:val="none"/>
        </w:rPr>
        <w:t xml:space="preserve"> systems that account for the electricity price. Consumption shifting can also be achieved by the use of energy storage, such as battery energy storage systems. </w:t>
      </w:r>
    </w:p>
    <w:p w14:paraId="6E76F32C" w14:textId="6681EA21" w:rsidR="00F33996" w:rsidRPr="00997B66" w:rsidRDefault="00F33996" w:rsidP="00482475">
      <w:pPr>
        <w:spacing w:before="432" w:after="432" w:line="240" w:lineRule="auto"/>
        <w:jc w:val="both"/>
        <w:outlineLvl w:val="2"/>
        <w:rPr>
          <w:rFonts w:ascii="Lato" w:eastAsia="Times New Roman" w:hAnsi="Lato" w:cs="Times New Roman"/>
          <w:b/>
          <w:bCs/>
          <w:kern w:val="0"/>
          <w:sz w:val="28"/>
          <w:szCs w:val="28"/>
          <w:lang w:eastAsia="en-GB"/>
          <w14:ligatures w14:val="none"/>
        </w:rPr>
      </w:pPr>
      <w:r w:rsidRPr="00997B66">
        <w:rPr>
          <w:rFonts w:ascii="Lato" w:eastAsia="Times New Roman" w:hAnsi="Lato" w:cs="Times New Roman"/>
          <w:b/>
          <w:bCs/>
          <w:kern w:val="0"/>
          <w:sz w:val="28"/>
          <w:szCs w:val="28"/>
          <w:lang w:eastAsia="en-GB"/>
          <w14:ligatures w14:val="none"/>
        </w:rPr>
        <w:t>Challenges</w:t>
      </w:r>
      <w:r w:rsidR="0080124F" w:rsidRPr="00997B66">
        <w:rPr>
          <w:rFonts w:ascii="Lato" w:eastAsia="Times New Roman" w:hAnsi="Lato" w:cs="Times New Roman"/>
          <w:b/>
          <w:bCs/>
          <w:kern w:val="0"/>
          <w:sz w:val="28"/>
          <w:szCs w:val="28"/>
          <w:lang w:eastAsia="en-GB"/>
          <w14:ligatures w14:val="none"/>
        </w:rPr>
        <w:t xml:space="preserve">, </w:t>
      </w:r>
      <w:r w:rsidR="00F17B74" w:rsidRPr="00997B66">
        <w:rPr>
          <w:rFonts w:ascii="Lato" w:eastAsia="Times New Roman" w:hAnsi="Lato" w:cs="Times New Roman"/>
          <w:b/>
          <w:bCs/>
          <w:kern w:val="0"/>
          <w:sz w:val="28"/>
          <w:szCs w:val="28"/>
          <w:lang w:eastAsia="en-GB"/>
          <w14:ligatures w14:val="none"/>
        </w:rPr>
        <w:t>Requirements</w:t>
      </w:r>
      <w:r w:rsidR="0080124F" w:rsidRPr="00997B66">
        <w:rPr>
          <w:rFonts w:ascii="Lato" w:eastAsia="Times New Roman" w:hAnsi="Lato" w:cs="Times New Roman"/>
          <w:b/>
          <w:bCs/>
          <w:kern w:val="0"/>
          <w:sz w:val="28"/>
          <w:szCs w:val="28"/>
          <w:lang w:eastAsia="en-GB"/>
          <w14:ligatures w14:val="none"/>
        </w:rPr>
        <w:t xml:space="preserve"> and Opportunities</w:t>
      </w:r>
    </w:p>
    <w:p w14:paraId="298A71C1" w14:textId="000C505E" w:rsidR="003F057A" w:rsidRPr="00997B66" w:rsidRDefault="003F057A" w:rsidP="00482475">
      <w:pPr>
        <w:spacing w:before="432" w:after="432" w:line="240" w:lineRule="auto"/>
        <w:jc w:val="both"/>
        <w:outlineLvl w:val="2"/>
        <w:rPr>
          <w:rFonts w:ascii="Lato" w:eastAsia="Times New Roman" w:hAnsi="Lato" w:cs="Times New Roman"/>
          <w:kern w:val="0"/>
          <w:sz w:val="28"/>
          <w:szCs w:val="28"/>
          <w:lang w:eastAsia="en-GB"/>
          <w14:ligatures w14:val="none"/>
        </w:rPr>
      </w:pPr>
      <w:r w:rsidRPr="00997B66">
        <w:rPr>
          <w:rFonts w:ascii="Lato" w:eastAsia="Times New Roman" w:hAnsi="Lato" w:cs="Times New Roman"/>
          <w:kern w:val="0"/>
          <w:sz w:val="28"/>
          <w:szCs w:val="28"/>
          <w:lang w:eastAsia="en-GB"/>
          <w14:ligatures w14:val="none"/>
        </w:rPr>
        <w:t xml:space="preserve">Enabling energy communities and self-consumption clusters require </w:t>
      </w:r>
      <w:r w:rsidR="00991B14" w:rsidRPr="00997B66">
        <w:rPr>
          <w:rFonts w:ascii="Lato" w:eastAsia="Times New Roman" w:hAnsi="Lato" w:cs="Times New Roman"/>
          <w:kern w:val="0"/>
          <w:sz w:val="28"/>
          <w:szCs w:val="28"/>
          <w:lang w:eastAsia="en-GB"/>
          <w14:ligatures w14:val="none"/>
        </w:rPr>
        <w:t>remote measurement capability at</w:t>
      </w:r>
      <w:r w:rsidRPr="00997B66">
        <w:rPr>
          <w:rFonts w:ascii="Lato" w:eastAsia="Times New Roman" w:hAnsi="Lato" w:cs="Times New Roman"/>
          <w:kern w:val="0"/>
          <w:sz w:val="28"/>
          <w:szCs w:val="28"/>
          <w:lang w:eastAsia="en-GB"/>
          <w14:ligatures w14:val="none"/>
        </w:rPr>
        <w:t xml:space="preserve"> </w:t>
      </w:r>
      <w:r w:rsidR="00991B14" w:rsidRPr="00997B66">
        <w:rPr>
          <w:rFonts w:ascii="Lato" w:eastAsia="Times New Roman" w:hAnsi="Lato" w:cs="Times New Roman"/>
          <w:kern w:val="0"/>
          <w:sz w:val="28"/>
          <w:szCs w:val="28"/>
          <w:lang w:eastAsia="en-GB"/>
          <w14:ligatures w14:val="none"/>
        </w:rPr>
        <w:t>all the</w:t>
      </w:r>
      <w:r w:rsidRPr="00997B66">
        <w:rPr>
          <w:rFonts w:ascii="Lato" w:eastAsia="Times New Roman" w:hAnsi="Lato" w:cs="Times New Roman"/>
          <w:kern w:val="0"/>
          <w:sz w:val="28"/>
          <w:szCs w:val="28"/>
          <w:lang w:eastAsia="en-GB"/>
          <w14:ligatures w14:val="none"/>
        </w:rPr>
        <w:t xml:space="preserve"> grid connection </w:t>
      </w:r>
      <w:r w:rsidR="00991B14" w:rsidRPr="00997B66">
        <w:rPr>
          <w:rFonts w:ascii="Lato" w:eastAsia="Times New Roman" w:hAnsi="Lato" w:cs="Times New Roman"/>
          <w:kern w:val="0"/>
          <w:sz w:val="28"/>
          <w:szCs w:val="28"/>
          <w:lang w:eastAsia="en-GB"/>
          <w14:ligatures w14:val="none"/>
        </w:rPr>
        <w:t xml:space="preserve">points </w:t>
      </w:r>
      <w:r w:rsidRPr="00997B66">
        <w:rPr>
          <w:rFonts w:ascii="Lato" w:eastAsia="Times New Roman" w:hAnsi="Lato" w:cs="Times New Roman"/>
          <w:kern w:val="0"/>
          <w:sz w:val="28"/>
          <w:szCs w:val="28"/>
          <w:lang w:eastAsia="en-GB"/>
          <w14:ligatures w14:val="none"/>
        </w:rPr>
        <w:t xml:space="preserve">of consumers and generators. Many Swiss utilities </w:t>
      </w:r>
      <w:r w:rsidR="00F17B74" w:rsidRPr="00997B66">
        <w:rPr>
          <w:rFonts w:ascii="Lato" w:eastAsia="Times New Roman" w:hAnsi="Lato" w:cs="Times New Roman"/>
          <w:kern w:val="0"/>
          <w:sz w:val="28"/>
          <w:szCs w:val="28"/>
          <w:lang w:eastAsia="en-GB"/>
          <w14:ligatures w14:val="none"/>
        </w:rPr>
        <w:t xml:space="preserve">are currently finalizing smart meters roll-out to make this happen. </w:t>
      </w:r>
    </w:p>
    <w:p w14:paraId="5413ED27" w14:textId="2FD1070F" w:rsidR="00F17B74" w:rsidRPr="00997B66" w:rsidRDefault="00A0578D" w:rsidP="00482475">
      <w:pPr>
        <w:spacing w:before="432" w:after="432" w:line="240" w:lineRule="auto"/>
        <w:jc w:val="both"/>
        <w:outlineLvl w:val="2"/>
        <w:rPr>
          <w:rFonts w:ascii="Lato" w:eastAsia="Times New Roman" w:hAnsi="Lato" w:cs="Times New Roman"/>
          <w:kern w:val="0"/>
          <w:sz w:val="28"/>
          <w:szCs w:val="28"/>
          <w:lang w:eastAsia="en-GB"/>
          <w14:ligatures w14:val="none"/>
        </w:rPr>
      </w:pPr>
      <w:r w:rsidRPr="00997B66">
        <w:rPr>
          <w:rFonts w:ascii="Lato" w:eastAsia="Times New Roman" w:hAnsi="Lato" w:cs="Times New Roman"/>
          <w:kern w:val="0"/>
          <w:sz w:val="28"/>
          <w:szCs w:val="28"/>
          <w:lang w:eastAsia="en-GB"/>
          <w14:ligatures w14:val="none"/>
        </w:rPr>
        <w:t>Effective operations of energy communities and self-consumption clusters require well-designed real-time coordination and control of the loads and energy storage assets. This process, generally known as energy management, can be implemented by dedicated software with various degrees of complexity and completeness. At HES-SO Valais, we develop state-of-the-art energy management systems that combine forecasting models of consumption and generation, numerical weather predictions, techno-economic optimization programs, and mathematical models of assets that can guarantee optimal or near-optimal operations.</w:t>
      </w:r>
    </w:p>
    <w:p w14:paraId="312DE72A" w14:textId="7E821342" w:rsidR="00A0578D" w:rsidRDefault="00A0578D" w:rsidP="00482475">
      <w:pPr>
        <w:spacing w:before="432" w:after="432" w:line="240" w:lineRule="auto"/>
        <w:jc w:val="both"/>
        <w:outlineLvl w:val="2"/>
        <w:rPr>
          <w:rFonts w:ascii="Lato" w:eastAsia="Times New Roman" w:hAnsi="Lato" w:cs="Times New Roman"/>
          <w:kern w:val="0"/>
          <w:sz w:val="28"/>
          <w:szCs w:val="28"/>
          <w:lang w:eastAsia="en-GB"/>
          <w14:ligatures w14:val="none"/>
        </w:rPr>
      </w:pPr>
      <w:r w:rsidRPr="00997B66">
        <w:rPr>
          <w:rFonts w:ascii="Lato" w:eastAsia="Times New Roman" w:hAnsi="Lato" w:cs="Times New Roman"/>
          <w:kern w:val="0"/>
          <w:sz w:val="28"/>
          <w:szCs w:val="28"/>
          <w:lang w:eastAsia="en-GB"/>
          <w14:ligatures w14:val="none"/>
        </w:rPr>
        <w:t xml:space="preserve">While legislative </w:t>
      </w:r>
      <w:r w:rsidR="0080124F" w:rsidRPr="00997B66">
        <w:rPr>
          <w:rFonts w:ascii="Lato" w:eastAsia="Times New Roman" w:hAnsi="Lato" w:cs="Times New Roman"/>
          <w:kern w:val="0"/>
          <w:sz w:val="28"/>
          <w:szCs w:val="28"/>
          <w:lang w:eastAsia="en-GB"/>
          <w14:ligatures w14:val="none"/>
        </w:rPr>
        <w:t>norms</w:t>
      </w:r>
      <w:r w:rsidRPr="00997B66">
        <w:rPr>
          <w:rFonts w:ascii="Lato" w:eastAsia="Times New Roman" w:hAnsi="Lato" w:cs="Times New Roman"/>
          <w:kern w:val="0"/>
          <w:sz w:val="28"/>
          <w:szCs w:val="28"/>
          <w:lang w:eastAsia="en-GB"/>
          <w14:ligatures w14:val="none"/>
        </w:rPr>
        <w:t xml:space="preserve"> now clearly open to the use of the local distribution grid to extend the range of self-consumption clusters and energy communities, the capability of the existing distribution grids should not </w:t>
      </w:r>
      <w:r w:rsidR="0080124F" w:rsidRPr="00997B66">
        <w:rPr>
          <w:rFonts w:ascii="Lato" w:eastAsia="Times New Roman" w:hAnsi="Lato" w:cs="Times New Roman"/>
          <w:kern w:val="0"/>
          <w:sz w:val="28"/>
          <w:szCs w:val="28"/>
          <w:lang w:eastAsia="en-GB"/>
          <w14:ligatures w14:val="none"/>
        </w:rPr>
        <w:t xml:space="preserve">be </w:t>
      </w:r>
      <w:r w:rsidRPr="00997B66">
        <w:rPr>
          <w:rFonts w:ascii="Lato" w:eastAsia="Times New Roman" w:hAnsi="Lato" w:cs="Times New Roman"/>
          <w:kern w:val="0"/>
          <w:sz w:val="28"/>
          <w:szCs w:val="28"/>
          <w:lang w:eastAsia="en-GB"/>
          <w14:ligatures w14:val="none"/>
        </w:rPr>
        <w:t>take</w:t>
      </w:r>
      <w:r w:rsidR="0080124F" w:rsidRPr="00997B66">
        <w:rPr>
          <w:rFonts w:ascii="Lato" w:eastAsia="Times New Roman" w:hAnsi="Lato" w:cs="Times New Roman"/>
          <w:kern w:val="0"/>
          <w:sz w:val="28"/>
          <w:szCs w:val="28"/>
          <w:lang w:eastAsia="en-GB"/>
          <w14:ligatures w14:val="none"/>
        </w:rPr>
        <w:t>n</w:t>
      </w:r>
      <w:r w:rsidRPr="00997B66">
        <w:rPr>
          <w:rFonts w:ascii="Lato" w:eastAsia="Times New Roman" w:hAnsi="Lato" w:cs="Times New Roman"/>
          <w:kern w:val="0"/>
          <w:sz w:val="28"/>
          <w:szCs w:val="28"/>
          <w:lang w:eastAsia="en-GB"/>
          <w14:ligatures w14:val="none"/>
        </w:rPr>
        <w:t xml:space="preserve"> for granted. In particular, existing distribution grids are designed to host limited amount of renewable generation and prescribed levels of </w:t>
      </w:r>
      <w:r w:rsidR="0080124F" w:rsidRPr="00997B66">
        <w:rPr>
          <w:rFonts w:ascii="Lato" w:eastAsia="Times New Roman" w:hAnsi="Lato" w:cs="Times New Roman"/>
          <w:kern w:val="0"/>
          <w:sz w:val="28"/>
          <w:szCs w:val="28"/>
          <w:lang w:eastAsia="en-GB"/>
          <w14:ligatures w14:val="none"/>
        </w:rPr>
        <w:t xml:space="preserve">power </w:t>
      </w:r>
      <w:r w:rsidRPr="00997B66">
        <w:rPr>
          <w:rFonts w:ascii="Lato" w:eastAsia="Times New Roman" w:hAnsi="Lato" w:cs="Times New Roman"/>
          <w:kern w:val="0"/>
          <w:sz w:val="28"/>
          <w:szCs w:val="28"/>
          <w:lang w:eastAsia="en-GB"/>
          <w14:ligatures w14:val="none"/>
        </w:rPr>
        <w:t>demand</w:t>
      </w:r>
      <w:r w:rsidR="0080124F" w:rsidRPr="00997B66">
        <w:rPr>
          <w:rFonts w:ascii="Lato" w:eastAsia="Times New Roman" w:hAnsi="Lato" w:cs="Times New Roman"/>
          <w:kern w:val="0"/>
          <w:sz w:val="28"/>
          <w:szCs w:val="28"/>
          <w:lang w:eastAsia="en-GB"/>
          <w14:ligatures w14:val="none"/>
        </w:rPr>
        <w:t>; e</w:t>
      </w:r>
      <w:r w:rsidRPr="00997B66">
        <w:rPr>
          <w:rFonts w:ascii="Lato" w:eastAsia="Times New Roman" w:hAnsi="Lato" w:cs="Times New Roman"/>
          <w:kern w:val="0"/>
          <w:sz w:val="28"/>
          <w:szCs w:val="28"/>
          <w:lang w:eastAsia="en-GB"/>
          <w14:ligatures w14:val="none"/>
        </w:rPr>
        <w:t xml:space="preserve">xceeding these </w:t>
      </w:r>
      <w:r w:rsidR="0080124F" w:rsidRPr="00997B66">
        <w:rPr>
          <w:rFonts w:ascii="Lato" w:eastAsia="Times New Roman" w:hAnsi="Lato" w:cs="Times New Roman"/>
          <w:kern w:val="0"/>
          <w:sz w:val="28"/>
          <w:szCs w:val="28"/>
          <w:lang w:eastAsia="en-GB"/>
          <w14:ligatures w14:val="none"/>
        </w:rPr>
        <w:t>design values</w:t>
      </w:r>
      <w:r w:rsidRPr="00997B66">
        <w:rPr>
          <w:rFonts w:ascii="Lato" w:eastAsia="Times New Roman" w:hAnsi="Lato" w:cs="Times New Roman"/>
          <w:kern w:val="0"/>
          <w:sz w:val="28"/>
          <w:szCs w:val="28"/>
          <w:lang w:eastAsia="en-GB"/>
          <w14:ligatures w14:val="none"/>
        </w:rPr>
        <w:t xml:space="preserve"> will unavoidably lead to </w:t>
      </w:r>
      <w:r w:rsidR="0080124F" w:rsidRPr="00997B66">
        <w:rPr>
          <w:rFonts w:ascii="Lato" w:eastAsia="Times New Roman" w:hAnsi="Lato" w:cs="Times New Roman"/>
          <w:kern w:val="0"/>
          <w:sz w:val="28"/>
          <w:szCs w:val="28"/>
          <w:lang w:eastAsia="en-GB"/>
          <w14:ligatures w14:val="none"/>
        </w:rPr>
        <w:t>violating the operational limits of the power distribution infrastructure, even in the context of the energy communities, requiring expensive grid upgrades, and possibly defying the purpose of energy communities.</w:t>
      </w:r>
      <w:r w:rsidRPr="00997B66">
        <w:rPr>
          <w:rFonts w:ascii="Lato" w:eastAsia="Times New Roman" w:hAnsi="Lato" w:cs="Times New Roman"/>
          <w:kern w:val="0"/>
          <w:sz w:val="28"/>
          <w:szCs w:val="28"/>
          <w:lang w:eastAsia="en-GB"/>
          <w14:ligatures w14:val="none"/>
        </w:rPr>
        <w:t xml:space="preserve"> For this reason, </w:t>
      </w:r>
      <w:r w:rsidR="0080124F" w:rsidRPr="00997B66">
        <w:rPr>
          <w:rFonts w:ascii="Lato" w:eastAsia="Times New Roman" w:hAnsi="Lato" w:cs="Times New Roman"/>
          <w:kern w:val="0"/>
          <w:sz w:val="28"/>
          <w:szCs w:val="28"/>
          <w:lang w:eastAsia="en-GB"/>
          <w14:ligatures w14:val="none"/>
        </w:rPr>
        <w:t xml:space="preserve">well-designed </w:t>
      </w:r>
      <w:r w:rsidRPr="00997B66">
        <w:rPr>
          <w:rFonts w:ascii="Lato" w:eastAsia="Times New Roman" w:hAnsi="Lato" w:cs="Times New Roman"/>
          <w:kern w:val="0"/>
          <w:sz w:val="28"/>
          <w:szCs w:val="28"/>
          <w:lang w:eastAsia="en-GB"/>
          <w14:ligatures w14:val="none"/>
        </w:rPr>
        <w:t xml:space="preserve">energy </w:t>
      </w:r>
      <w:r w:rsidR="0080124F" w:rsidRPr="00997B66">
        <w:rPr>
          <w:rFonts w:ascii="Lato" w:eastAsia="Times New Roman" w:hAnsi="Lato" w:cs="Times New Roman"/>
          <w:kern w:val="0"/>
          <w:sz w:val="28"/>
          <w:szCs w:val="28"/>
          <w:lang w:eastAsia="en-GB"/>
          <w14:ligatures w14:val="none"/>
        </w:rPr>
        <w:t>management</w:t>
      </w:r>
      <w:r w:rsidRPr="00997B66">
        <w:rPr>
          <w:rFonts w:ascii="Lato" w:eastAsia="Times New Roman" w:hAnsi="Lato" w:cs="Times New Roman"/>
          <w:kern w:val="0"/>
          <w:sz w:val="28"/>
          <w:szCs w:val="28"/>
          <w:lang w:eastAsia="en-GB"/>
          <w14:ligatures w14:val="none"/>
        </w:rPr>
        <w:t xml:space="preserve"> should </w:t>
      </w:r>
      <w:r w:rsidR="0080124F" w:rsidRPr="00997B66">
        <w:rPr>
          <w:rFonts w:ascii="Lato" w:eastAsia="Times New Roman" w:hAnsi="Lato" w:cs="Times New Roman"/>
          <w:kern w:val="0"/>
          <w:sz w:val="28"/>
          <w:szCs w:val="28"/>
          <w:lang w:eastAsia="en-GB"/>
          <w14:ligatures w14:val="none"/>
        </w:rPr>
        <w:t xml:space="preserve">consider the inclusion of accurate models of the power grid to capture their strenght and limits. Distribution system operators, who typically have a detailed knowledge of their network could offer advanced and tailored energy management platforms to their customers. If you are a DSO and you are interested </w:t>
      </w:r>
      <w:r w:rsidRPr="00997B66">
        <w:rPr>
          <w:rFonts w:ascii="Lato" w:eastAsia="Times New Roman" w:hAnsi="Lato" w:cs="Times New Roman"/>
          <w:kern w:val="0"/>
          <w:sz w:val="28"/>
          <w:szCs w:val="28"/>
          <w:lang w:eastAsia="en-GB"/>
          <w14:ligatures w14:val="none"/>
        </w:rPr>
        <w:t xml:space="preserve"> </w:t>
      </w:r>
      <w:r w:rsidR="008937DE">
        <w:rPr>
          <w:rFonts w:ascii="Lato" w:eastAsia="Times New Roman" w:hAnsi="Lato" w:cs="Times New Roman"/>
          <w:kern w:val="0"/>
          <w:sz w:val="28"/>
          <w:szCs w:val="28"/>
          <w:lang w:eastAsia="en-GB"/>
          <w14:ligatures w14:val="none"/>
        </w:rPr>
        <w:t>…</w:t>
      </w:r>
    </w:p>
    <w:p w14:paraId="3CEB227A" w14:textId="69A8067B" w:rsidR="008937DE" w:rsidRPr="00997B66" w:rsidRDefault="008937DE" w:rsidP="00482475">
      <w:pPr>
        <w:spacing w:before="432" w:after="432" w:line="240" w:lineRule="auto"/>
        <w:jc w:val="both"/>
        <w:outlineLvl w:val="2"/>
        <w:rPr>
          <w:rFonts w:ascii="Lato" w:eastAsia="Times New Roman" w:hAnsi="Lato" w:cs="Times New Roman"/>
          <w:kern w:val="0"/>
          <w:sz w:val="28"/>
          <w:szCs w:val="28"/>
          <w:lang w:eastAsia="en-GB"/>
          <w14:ligatures w14:val="none"/>
        </w:rPr>
      </w:pPr>
      <w:r>
        <w:rPr>
          <w:rFonts w:ascii="Lato" w:eastAsia="Times New Roman" w:hAnsi="Lato" w:cs="Times New Roman"/>
          <w:kern w:val="0"/>
          <w:sz w:val="28"/>
          <w:szCs w:val="28"/>
          <w:lang w:eastAsia="en-GB"/>
          <w14:ligatures w14:val="none"/>
        </w:rPr>
        <w:t>Link to research projects.</w:t>
      </w:r>
    </w:p>
    <w:p w14:paraId="645BC290" w14:textId="77777777" w:rsidR="00F33996" w:rsidRPr="00997B66" w:rsidRDefault="00F33996" w:rsidP="00F33996">
      <w:pPr>
        <w:spacing w:before="432" w:after="432" w:line="240" w:lineRule="auto"/>
        <w:jc w:val="both"/>
        <w:outlineLvl w:val="2"/>
        <w:rPr>
          <w:rFonts w:ascii="Lato" w:eastAsia="Times New Roman" w:hAnsi="Lato" w:cs="Times New Roman"/>
          <w:b/>
          <w:bCs/>
          <w:kern w:val="0"/>
          <w:sz w:val="28"/>
          <w:szCs w:val="28"/>
          <w:lang w:eastAsia="en-GB"/>
          <w14:ligatures w14:val="none"/>
        </w:rPr>
      </w:pPr>
      <w:r w:rsidRPr="00997B66">
        <w:rPr>
          <w:rFonts w:ascii="Lato" w:eastAsia="Times New Roman" w:hAnsi="Lato" w:cs="Times New Roman"/>
          <w:b/>
          <w:bCs/>
          <w:kern w:val="0"/>
          <w:sz w:val="28"/>
          <w:szCs w:val="28"/>
          <w:lang w:eastAsia="en-GB"/>
          <w14:ligatures w14:val="none"/>
        </w:rPr>
        <w:t>System and grid benefits</w:t>
      </w:r>
    </w:p>
    <w:p w14:paraId="2F43F797" w14:textId="281DA24B" w:rsidR="00F33996" w:rsidRPr="00997B66" w:rsidRDefault="00F33996" w:rsidP="00F33996">
      <w:pPr>
        <w:spacing w:before="288" w:after="288" w:line="240" w:lineRule="auto"/>
        <w:jc w:val="both"/>
        <w:rPr>
          <w:rFonts w:ascii="Lato" w:eastAsia="Times New Roman" w:hAnsi="Lato" w:cs="Times New Roman"/>
          <w:kern w:val="0"/>
          <w:sz w:val="28"/>
          <w:szCs w:val="28"/>
          <w:lang w:eastAsia="en-GB"/>
          <w14:ligatures w14:val="none"/>
        </w:rPr>
      </w:pPr>
      <w:r w:rsidRPr="00997B66">
        <w:rPr>
          <w:rFonts w:ascii="Lato" w:eastAsia="Times New Roman" w:hAnsi="Lato" w:cs="Times New Roman"/>
          <w:kern w:val="0"/>
          <w:sz w:val="28"/>
          <w:szCs w:val="28"/>
          <w:lang w:eastAsia="en-GB"/>
          <w14:ligatures w14:val="none"/>
        </w:rPr>
        <w:t>Implementing self-consumption of locally generated electricity is advantageous because it reduces Joule losses in power cables and lines and, if well coordinated, leads to better utilization of the power distribution grids, with less congestions and improved voltage levels.</w:t>
      </w:r>
    </w:p>
    <w:p w14:paraId="5D7E1732" w14:textId="77777777" w:rsidR="00F33996" w:rsidRPr="00997B66" w:rsidRDefault="00F33996" w:rsidP="00F33996">
      <w:pPr>
        <w:spacing w:before="432" w:after="432" w:line="240" w:lineRule="auto"/>
        <w:jc w:val="both"/>
        <w:outlineLvl w:val="1"/>
        <w:rPr>
          <w:rFonts w:ascii="Lato" w:eastAsia="Times New Roman" w:hAnsi="Lato" w:cs="Times New Roman"/>
          <w:b/>
          <w:bCs/>
          <w:kern w:val="0"/>
          <w:sz w:val="36"/>
          <w:szCs w:val="36"/>
          <w:lang w:eastAsia="en-GB"/>
          <w14:ligatures w14:val="none"/>
        </w:rPr>
      </w:pPr>
      <w:r w:rsidRPr="00997B66">
        <w:rPr>
          <w:rFonts w:ascii="Lato" w:eastAsia="Times New Roman" w:hAnsi="Lato" w:cs="Times New Roman"/>
          <w:b/>
          <w:bCs/>
          <w:kern w:val="0"/>
          <w:sz w:val="36"/>
          <w:szCs w:val="36"/>
          <w:lang w:eastAsia="en-GB"/>
          <w14:ligatures w14:val="none"/>
        </w:rPr>
        <w:t>For more information</w:t>
      </w:r>
    </w:p>
    <w:p w14:paraId="494CD3F9" w14:textId="77777777" w:rsidR="00F33996" w:rsidRPr="00997B66" w:rsidRDefault="00F33996" w:rsidP="00F33996">
      <w:pPr>
        <w:numPr>
          <w:ilvl w:val="0"/>
          <w:numId w:val="1"/>
        </w:numPr>
        <w:spacing w:before="100" w:beforeAutospacing="1" w:after="100" w:afterAutospacing="1" w:line="240" w:lineRule="auto"/>
        <w:jc w:val="both"/>
        <w:rPr>
          <w:rFonts w:ascii="Lato" w:eastAsia="Times New Roman" w:hAnsi="Lato" w:cs="Times New Roman"/>
          <w:kern w:val="0"/>
          <w:sz w:val="28"/>
          <w:szCs w:val="28"/>
          <w:lang w:eastAsia="en-GB"/>
          <w14:ligatures w14:val="none"/>
        </w:rPr>
      </w:pPr>
      <w:r w:rsidRPr="00997B66">
        <w:rPr>
          <w:rFonts w:ascii="Lato" w:eastAsia="Times New Roman" w:hAnsi="Lato" w:cs="Times New Roman"/>
          <w:kern w:val="0"/>
          <w:sz w:val="28"/>
          <w:szCs w:val="28"/>
          <w:lang w:eastAsia="en-GB"/>
          <w14:ligatures w14:val="none"/>
        </w:rPr>
        <w:t>AES (2024), </w:t>
      </w:r>
      <w:hyperlink r:id="rId7" w:history="1">
        <w:r w:rsidRPr="00997B66">
          <w:rPr>
            <w:rFonts w:ascii="Lato" w:eastAsia="Times New Roman" w:hAnsi="Lato" w:cs="Times New Roman"/>
            <w:color w:val="0C93E4"/>
            <w:kern w:val="0"/>
            <w:sz w:val="28"/>
            <w:szCs w:val="28"/>
            <w:u w:val="single"/>
            <w:lang w:eastAsia="en-GB"/>
            <w14:ligatures w14:val="none"/>
          </w:rPr>
          <w:t>Réglementation de la consommation propre</w:t>
        </w:r>
      </w:hyperlink>
      <w:r w:rsidRPr="00997B66">
        <w:rPr>
          <w:rFonts w:ascii="Lato" w:eastAsia="Times New Roman" w:hAnsi="Lato" w:cs="Times New Roman"/>
          <w:kern w:val="0"/>
          <w:sz w:val="28"/>
          <w:szCs w:val="28"/>
          <w:lang w:eastAsia="en-GB"/>
          <w14:ligatures w14:val="none"/>
        </w:rPr>
        <w:t>.</w:t>
      </w:r>
    </w:p>
    <w:p w14:paraId="236CC622" w14:textId="77777777" w:rsidR="00F33996" w:rsidRPr="00997B66" w:rsidRDefault="00F33996" w:rsidP="00F33996">
      <w:pPr>
        <w:numPr>
          <w:ilvl w:val="0"/>
          <w:numId w:val="1"/>
        </w:numPr>
        <w:spacing w:before="100" w:beforeAutospacing="1" w:after="100" w:afterAutospacing="1" w:line="240" w:lineRule="auto"/>
        <w:jc w:val="both"/>
        <w:rPr>
          <w:rFonts w:ascii="Lato" w:eastAsia="Times New Roman" w:hAnsi="Lato" w:cs="Times New Roman"/>
          <w:kern w:val="0"/>
          <w:sz w:val="28"/>
          <w:szCs w:val="28"/>
          <w:lang w:eastAsia="en-GB"/>
          <w14:ligatures w14:val="none"/>
        </w:rPr>
      </w:pPr>
      <w:r w:rsidRPr="00997B66">
        <w:rPr>
          <w:rFonts w:ascii="Lato" w:eastAsia="Times New Roman" w:hAnsi="Lato" w:cs="Times New Roman"/>
          <w:kern w:val="0"/>
          <w:sz w:val="28"/>
          <w:szCs w:val="28"/>
          <w:lang w:eastAsia="en-GB"/>
          <w14:ligatures w14:val="none"/>
        </w:rPr>
        <w:t>Definition of self consumption clusters (2025), </w:t>
      </w:r>
      <w:hyperlink r:id="rId8" w:history="1">
        <w:r w:rsidRPr="00997B66">
          <w:rPr>
            <w:rFonts w:ascii="Lato" w:eastAsia="Times New Roman" w:hAnsi="Lato" w:cs="Times New Roman"/>
            <w:color w:val="0C93E4"/>
            <w:kern w:val="0"/>
            <w:sz w:val="28"/>
            <w:szCs w:val="28"/>
            <w:u w:val="single"/>
            <w:lang w:eastAsia="en-GB"/>
            <w14:ligatures w14:val="none"/>
          </w:rPr>
          <w:t>Law 730.01</w:t>
        </w:r>
      </w:hyperlink>
      <w:r w:rsidRPr="00997B66">
        <w:rPr>
          <w:rFonts w:ascii="Lato" w:eastAsia="Times New Roman" w:hAnsi="Lato" w:cs="Times New Roman"/>
          <w:kern w:val="0"/>
          <w:sz w:val="28"/>
          <w:szCs w:val="28"/>
          <w:lang w:eastAsia="en-GB"/>
          <w14:ligatures w14:val="none"/>
        </w:rPr>
        <w:t>.</w:t>
      </w:r>
    </w:p>
    <w:p w14:paraId="1EF9D58E" w14:textId="77777777" w:rsidR="00F33996" w:rsidRPr="00997B66" w:rsidRDefault="00F33996" w:rsidP="00F33996">
      <w:pPr>
        <w:numPr>
          <w:ilvl w:val="0"/>
          <w:numId w:val="1"/>
        </w:numPr>
        <w:spacing w:before="100" w:beforeAutospacing="1" w:after="100" w:afterAutospacing="1" w:line="240" w:lineRule="auto"/>
        <w:jc w:val="both"/>
        <w:rPr>
          <w:rFonts w:ascii="Lato" w:eastAsia="Times New Roman" w:hAnsi="Lato" w:cs="Times New Roman"/>
          <w:kern w:val="0"/>
          <w:sz w:val="28"/>
          <w:szCs w:val="28"/>
          <w:lang w:eastAsia="en-GB"/>
          <w14:ligatures w14:val="none"/>
        </w:rPr>
      </w:pPr>
      <w:r w:rsidRPr="00997B66">
        <w:rPr>
          <w:rFonts w:ascii="Lato" w:eastAsia="Times New Roman" w:hAnsi="Lato" w:cs="Times New Roman"/>
          <w:kern w:val="0"/>
          <w:sz w:val="28"/>
          <w:szCs w:val="28"/>
          <w:lang w:eastAsia="en-GB"/>
          <w14:ligatures w14:val="none"/>
        </w:rPr>
        <w:t>Introduction of local energy communities (2024), </w:t>
      </w:r>
      <w:hyperlink r:id="rId9" w:anchor="mod_u69" w:history="1">
        <w:r w:rsidRPr="00997B66">
          <w:rPr>
            <w:rFonts w:ascii="Lato" w:eastAsia="Times New Roman" w:hAnsi="Lato" w:cs="Times New Roman"/>
            <w:color w:val="0C93E4"/>
            <w:kern w:val="0"/>
            <w:sz w:val="28"/>
            <w:szCs w:val="28"/>
            <w:u w:val="single"/>
            <w:lang w:eastAsia="en-GB"/>
            <w14:ligatures w14:val="none"/>
          </w:rPr>
          <w:t>Atto mantello RU 2024 679</w:t>
        </w:r>
      </w:hyperlink>
      <w:r w:rsidRPr="00997B66">
        <w:rPr>
          <w:rFonts w:ascii="Lato" w:eastAsia="Times New Roman" w:hAnsi="Lato" w:cs="Times New Roman"/>
          <w:kern w:val="0"/>
          <w:sz w:val="28"/>
          <w:szCs w:val="28"/>
          <w:lang w:eastAsia="en-GB"/>
          <w14:ligatures w14:val="none"/>
        </w:rPr>
        <w:t>.</w:t>
      </w:r>
    </w:p>
    <w:p w14:paraId="2282FB9C" w14:textId="77777777" w:rsidR="008F0F80" w:rsidRPr="00997B66" w:rsidRDefault="008F0F80" w:rsidP="00F33996">
      <w:pPr>
        <w:jc w:val="both"/>
      </w:pPr>
    </w:p>
    <w:sectPr w:rsidR="008F0F80" w:rsidRPr="00997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5280E"/>
    <w:multiLevelType w:val="multilevel"/>
    <w:tmpl w:val="B56C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020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96"/>
    <w:rsid w:val="001263B7"/>
    <w:rsid w:val="001A6D5A"/>
    <w:rsid w:val="00222FF5"/>
    <w:rsid w:val="003F057A"/>
    <w:rsid w:val="00482475"/>
    <w:rsid w:val="005A0912"/>
    <w:rsid w:val="0080124F"/>
    <w:rsid w:val="008322EE"/>
    <w:rsid w:val="00867439"/>
    <w:rsid w:val="008937DE"/>
    <w:rsid w:val="008F0F80"/>
    <w:rsid w:val="00991B14"/>
    <w:rsid w:val="009978B4"/>
    <w:rsid w:val="00997B66"/>
    <w:rsid w:val="00A0578D"/>
    <w:rsid w:val="00B53AED"/>
    <w:rsid w:val="00CE37D0"/>
    <w:rsid w:val="00D875E0"/>
    <w:rsid w:val="00F17B74"/>
    <w:rsid w:val="00F3399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88A2526"/>
  <w15:chartTrackingRefBased/>
  <w15:docId w15:val="{07A3B1B5-4A21-1D45-B237-2F7B50EF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9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39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39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9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9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39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39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9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9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996"/>
    <w:rPr>
      <w:rFonts w:eastAsiaTheme="majorEastAsia" w:cstheme="majorBidi"/>
      <w:color w:val="272727" w:themeColor="text1" w:themeTint="D8"/>
    </w:rPr>
  </w:style>
  <w:style w:type="paragraph" w:styleId="Title">
    <w:name w:val="Title"/>
    <w:basedOn w:val="Normal"/>
    <w:next w:val="Normal"/>
    <w:link w:val="TitleChar"/>
    <w:uiPriority w:val="10"/>
    <w:qFormat/>
    <w:rsid w:val="00F33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996"/>
    <w:pPr>
      <w:spacing w:before="160"/>
      <w:jc w:val="center"/>
    </w:pPr>
    <w:rPr>
      <w:i/>
      <w:iCs/>
      <w:color w:val="404040" w:themeColor="text1" w:themeTint="BF"/>
    </w:rPr>
  </w:style>
  <w:style w:type="character" w:customStyle="1" w:styleId="QuoteChar">
    <w:name w:val="Quote Char"/>
    <w:basedOn w:val="DefaultParagraphFont"/>
    <w:link w:val="Quote"/>
    <w:uiPriority w:val="29"/>
    <w:rsid w:val="00F33996"/>
    <w:rPr>
      <w:i/>
      <w:iCs/>
      <w:color w:val="404040" w:themeColor="text1" w:themeTint="BF"/>
    </w:rPr>
  </w:style>
  <w:style w:type="paragraph" w:styleId="ListParagraph">
    <w:name w:val="List Paragraph"/>
    <w:basedOn w:val="Normal"/>
    <w:uiPriority w:val="34"/>
    <w:qFormat/>
    <w:rsid w:val="00F33996"/>
    <w:pPr>
      <w:ind w:left="720"/>
      <w:contextualSpacing/>
    </w:pPr>
  </w:style>
  <w:style w:type="character" w:styleId="IntenseEmphasis">
    <w:name w:val="Intense Emphasis"/>
    <w:basedOn w:val="DefaultParagraphFont"/>
    <w:uiPriority w:val="21"/>
    <w:qFormat/>
    <w:rsid w:val="00F33996"/>
    <w:rPr>
      <w:i/>
      <w:iCs/>
      <w:color w:val="0F4761" w:themeColor="accent1" w:themeShade="BF"/>
    </w:rPr>
  </w:style>
  <w:style w:type="paragraph" w:styleId="IntenseQuote">
    <w:name w:val="Intense Quote"/>
    <w:basedOn w:val="Normal"/>
    <w:next w:val="Normal"/>
    <w:link w:val="IntenseQuoteChar"/>
    <w:uiPriority w:val="30"/>
    <w:qFormat/>
    <w:rsid w:val="00F33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996"/>
    <w:rPr>
      <w:i/>
      <w:iCs/>
      <w:color w:val="0F4761" w:themeColor="accent1" w:themeShade="BF"/>
    </w:rPr>
  </w:style>
  <w:style w:type="character" w:styleId="IntenseReference">
    <w:name w:val="Intense Reference"/>
    <w:basedOn w:val="DefaultParagraphFont"/>
    <w:uiPriority w:val="32"/>
    <w:qFormat/>
    <w:rsid w:val="00F33996"/>
    <w:rPr>
      <w:b/>
      <w:bCs/>
      <w:smallCaps/>
      <w:color w:val="0F4761" w:themeColor="accent1" w:themeShade="BF"/>
      <w:spacing w:val="5"/>
    </w:rPr>
  </w:style>
  <w:style w:type="paragraph" w:styleId="NormalWeb">
    <w:name w:val="Normal (Web)"/>
    <w:basedOn w:val="Normal"/>
    <w:uiPriority w:val="99"/>
    <w:semiHidden/>
    <w:unhideWhenUsed/>
    <w:rsid w:val="00F3399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33996"/>
    <w:rPr>
      <w:color w:val="0000FF"/>
      <w:u w:val="single"/>
    </w:rPr>
  </w:style>
  <w:style w:type="character" w:customStyle="1" w:styleId="apple-converted-space">
    <w:name w:val="apple-converted-space"/>
    <w:basedOn w:val="DefaultParagraphFont"/>
    <w:rsid w:val="00F33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2732464">
      <w:bodyDiv w:val="1"/>
      <w:marLeft w:val="0"/>
      <w:marRight w:val="0"/>
      <w:marTop w:val="0"/>
      <w:marBottom w:val="0"/>
      <w:divBdr>
        <w:top w:val="none" w:sz="0" w:space="0" w:color="auto"/>
        <w:left w:val="none" w:sz="0" w:space="0" w:color="auto"/>
        <w:bottom w:val="none" w:sz="0" w:space="0" w:color="auto"/>
        <w:right w:val="none" w:sz="0" w:space="0" w:color="auto"/>
      </w:divBdr>
      <w:divsChild>
        <w:div w:id="1817606549">
          <w:marLeft w:val="0"/>
          <w:marRight w:val="0"/>
          <w:marTop w:val="0"/>
          <w:marBottom w:val="0"/>
          <w:divBdr>
            <w:top w:val="none" w:sz="0" w:space="0" w:color="auto"/>
            <w:left w:val="none" w:sz="0" w:space="0" w:color="auto"/>
            <w:bottom w:val="none" w:sz="0" w:space="0" w:color="auto"/>
            <w:right w:val="none" w:sz="0" w:space="0" w:color="auto"/>
          </w:divBdr>
        </w:div>
        <w:div w:id="48968330">
          <w:marLeft w:val="0"/>
          <w:marRight w:val="0"/>
          <w:marTop w:val="0"/>
          <w:marBottom w:val="0"/>
          <w:divBdr>
            <w:top w:val="none" w:sz="0" w:space="0" w:color="auto"/>
            <w:left w:val="none" w:sz="0" w:space="0" w:color="auto"/>
            <w:bottom w:val="none" w:sz="0" w:space="0" w:color="auto"/>
            <w:right w:val="none" w:sz="0" w:space="0" w:color="auto"/>
          </w:divBdr>
        </w:div>
        <w:div w:id="1637101990">
          <w:marLeft w:val="0"/>
          <w:marRight w:val="0"/>
          <w:marTop w:val="0"/>
          <w:marBottom w:val="0"/>
          <w:divBdr>
            <w:top w:val="none" w:sz="0" w:space="0" w:color="auto"/>
            <w:left w:val="none" w:sz="0" w:space="0" w:color="auto"/>
            <w:bottom w:val="none" w:sz="0" w:space="0" w:color="auto"/>
            <w:right w:val="none" w:sz="0" w:space="0" w:color="auto"/>
          </w:divBdr>
        </w:div>
        <w:div w:id="838497775">
          <w:marLeft w:val="0"/>
          <w:marRight w:val="0"/>
          <w:marTop w:val="0"/>
          <w:marBottom w:val="0"/>
          <w:divBdr>
            <w:top w:val="none" w:sz="0" w:space="0" w:color="auto"/>
            <w:left w:val="none" w:sz="0" w:space="0" w:color="auto"/>
            <w:bottom w:val="none" w:sz="0" w:space="0" w:color="auto"/>
            <w:right w:val="none" w:sz="0" w:space="0" w:color="auto"/>
          </w:divBdr>
        </w:div>
        <w:div w:id="2021161229">
          <w:marLeft w:val="0"/>
          <w:marRight w:val="0"/>
          <w:marTop w:val="0"/>
          <w:marBottom w:val="0"/>
          <w:divBdr>
            <w:top w:val="none" w:sz="0" w:space="0" w:color="auto"/>
            <w:left w:val="none" w:sz="0" w:space="0" w:color="auto"/>
            <w:bottom w:val="none" w:sz="0" w:space="0" w:color="auto"/>
            <w:right w:val="none" w:sz="0" w:space="0" w:color="auto"/>
          </w:divBdr>
        </w:div>
        <w:div w:id="536544864">
          <w:marLeft w:val="0"/>
          <w:marRight w:val="0"/>
          <w:marTop w:val="0"/>
          <w:marBottom w:val="0"/>
          <w:divBdr>
            <w:top w:val="none" w:sz="0" w:space="0" w:color="auto"/>
            <w:left w:val="none" w:sz="0" w:space="0" w:color="auto"/>
            <w:bottom w:val="none" w:sz="0" w:space="0" w:color="auto"/>
            <w:right w:val="none" w:sz="0" w:space="0" w:color="auto"/>
          </w:divBdr>
        </w:div>
        <w:div w:id="154535547">
          <w:marLeft w:val="0"/>
          <w:marRight w:val="0"/>
          <w:marTop w:val="0"/>
          <w:marBottom w:val="0"/>
          <w:divBdr>
            <w:top w:val="none" w:sz="0" w:space="0" w:color="auto"/>
            <w:left w:val="none" w:sz="0" w:space="0" w:color="auto"/>
            <w:bottom w:val="none" w:sz="0" w:space="0" w:color="auto"/>
            <w:right w:val="none" w:sz="0" w:space="0" w:color="auto"/>
          </w:divBdr>
        </w:div>
        <w:div w:id="447161566">
          <w:marLeft w:val="0"/>
          <w:marRight w:val="0"/>
          <w:marTop w:val="0"/>
          <w:marBottom w:val="0"/>
          <w:divBdr>
            <w:top w:val="none" w:sz="0" w:space="0" w:color="auto"/>
            <w:left w:val="none" w:sz="0" w:space="0" w:color="auto"/>
            <w:bottom w:val="none" w:sz="0" w:space="0" w:color="auto"/>
            <w:right w:val="none" w:sz="0" w:space="0" w:color="auto"/>
          </w:divBdr>
        </w:div>
        <w:div w:id="1941990038">
          <w:marLeft w:val="0"/>
          <w:marRight w:val="0"/>
          <w:marTop w:val="0"/>
          <w:marBottom w:val="0"/>
          <w:divBdr>
            <w:top w:val="none" w:sz="0" w:space="0" w:color="auto"/>
            <w:left w:val="none" w:sz="0" w:space="0" w:color="auto"/>
            <w:bottom w:val="none" w:sz="0" w:space="0" w:color="auto"/>
            <w:right w:val="none" w:sz="0" w:space="0" w:color="auto"/>
          </w:divBdr>
        </w:div>
        <w:div w:id="424041281">
          <w:marLeft w:val="0"/>
          <w:marRight w:val="0"/>
          <w:marTop w:val="0"/>
          <w:marBottom w:val="0"/>
          <w:divBdr>
            <w:top w:val="none" w:sz="0" w:space="0" w:color="auto"/>
            <w:left w:val="none" w:sz="0" w:space="0" w:color="auto"/>
            <w:bottom w:val="none" w:sz="0" w:space="0" w:color="auto"/>
            <w:right w:val="none" w:sz="0" w:space="0" w:color="auto"/>
          </w:divBdr>
        </w:div>
        <w:div w:id="2020697597">
          <w:marLeft w:val="0"/>
          <w:marRight w:val="0"/>
          <w:marTop w:val="0"/>
          <w:marBottom w:val="0"/>
          <w:divBdr>
            <w:top w:val="none" w:sz="0" w:space="0" w:color="auto"/>
            <w:left w:val="none" w:sz="0" w:space="0" w:color="auto"/>
            <w:bottom w:val="none" w:sz="0" w:space="0" w:color="auto"/>
            <w:right w:val="none" w:sz="0" w:space="0" w:color="auto"/>
          </w:divBdr>
        </w:div>
        <w:div w:id="1329138127">
          <w:marLeft w:val="0"/>
          <w:marRight w:val="0"/>
          <w:marTop w:val="0"/>
          <w:marBottom w:val="0"/>
          <w:divBdr>
            <w:top w:val="none" w:sz="0" w:space="0" w:color="auto"/>
            <w:left w:val="none" w:sz="0" w:space="0" w:color="auto"/>
            <w:bottom w:val="none" w:sz="0" w:space="0" w:color="auto"/>
            <w:right w:val="none" w:sz="0" w:space="0" w:color="auto"/>
          </w:divBdr>
        </w:div>
        <w:div w:id="1308897108">
          <w:marLeft w:val="0"/>
          <w:marRight w:val="0"/>
          <w:marTop w:val="0"/>
          <w:marBottom w:val="0"/>
          <w:divBdr>
            <w:top w:val="none" w:sz="0" w:space="0" w:color="auto"/>
            <w:left w:val="none" w:sz="0" w:space="0" w:color="auto"/>
            <w:bottom w:val="none" w:sz="0" w:space="0" w:color="auto"/>
            <w:right w:val="none" w:sz="0" w:space="0" w:color="auto"/>
          </w:divBdr>
        </w:div>
        <w:div w:id="1102844095">
          <w:marLeft w:val="0"/>
          <w:marRight w:val="0"/>
          <w:marTop w:val="0"/>
          <w:marBottom w:val="0"/>
          <w:divBdr>
            <w:top w:val="none" w:sz="0" w:space="0" w:color="auto"/>
            <w:left w:val="none" w:sz="0" w:space="0" w:color="auto"/>
            <w:bottom w:val="none" w:sz="0" w:space="0" w:color="auto"/>
            <w:right w:val="none" w:sz="0" w:space="0" w:color="auto"/>
          </w:divBdr>
        </w:div>
        <w:div w:id="1976325289">
          <w:marLeft w:val="0"/>
          <w:marRight w:val="0"/>
          <w:marTop w:val="0"/>
          <w:marBottom w:val="0"/>
          <w:divBdr>
            <w:top w:val="none" w:sz="0" w:space="0" w:color="auto"/>
            <w:left w:val="none" w:sz="0" w:space="0" w:color="auto"/>
            <w:bottom w:val="none" w:sz="0" w:space="0" w:color="auto"/>
            <w:right w:val="none" w:sz="0" w:space="0" w:color="auto"/>
          </w:divBdr>
        </w:div>
        <w:div w:id="2106610915">
          <w:marLeft w:val="0"/>
          <w:marRight w:val="0"/>
          <w:marTop w:val="0"/>
          <w:marBottom w:val="0"/>
          <w:divBdr>
            <w:top w:val="none" w:sz="0" w:space="0" w:color="auto"/>
            <w:left w:val="none" w:sz="0" w:space="0" w:color="auto"/>
            <w:bottom w:val="none" w:sz="0" w:space="0" w:color="auto"/>
            <w:right w:val="none" w:sz="0" w:space="0" w:color="auto"/>
          </w:divBdr>
        </w:div>
        <w:div w:id="407390760">
          <w:marLeft w:val="0"/>
          <w:marRight w:val="0"/>
          <w:marTop w:val="0"/>
          <w:marBottom w:val="0"/>
          <w:divBdr>
            <w:top w:val="none" w:sz="0" w:space="0" w:color="auto"/>
            <w:left w:val="none" w:sz="0" w:space="0" w:color="auto"/>
            <w:bottom w:val="none" w:sz="0" w:space="0" w:color="auto"/>
            <w:right w:val="none" w:sz="0" w:space="0" w:color="auto"/>
          </w:divBdr>
        </w:div>
        <w:div w:id="1095633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lex.admin.ch/eli/cc/2017/763/it" TargetMode="External"/><Relationship Id="rId3" Type="http://schemas.openxmlformats.org/officeDocument/2006/relationships/settings" Target="settings.xml"/><Relationship Id="rId7" Type="http://schemas.openxmlformats.org/officeDocument/2006/relationships/hyperlink" Target="https://www.strom.ch/fr/media/15152/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edlex.admin.ch/eli/oc/2024/679/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Sossan Fabrizio</dc:creator>
  <cp:keywords/>
  <dc:description/>
  <cp:lastModifiedBy>Sossan Fabrizio</cp:lastModifiedBy>
  <cp:revision>5</cp:revision>
  <dcterms:created xsi:type="dcterms:W3CDTF">2025-01-15T20:05:00Z</dcterms:created>
  <dcterms:modified xsi:type="dcterms:W3CDTF">2025-01-16T18:02:00Z</dcterms:modified>
</cp:coreProperties>
</file>