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2E7A"/>
          <w:sz w:val="32"/>
          <w:szCs w:val="32"/>
        </w:rPr>
        <w:t xml:space="preserve">MINUTA DE REVISIÓN — DIARIO 2.0</w:t>
      </w:r>
    </w:p>
    <w:p>
      <w:pPr>
        <w:pBdr>
          <w:bottom w:val="single" w:color="2E2E7A" w:sz="10" w:space="1"/>
        </w:pBdr>
        <w:spacing w:after="40" w:before="0"/>
      </w:pPr>
      <w:r>
        <w:rPr>
          <w:rFonts w:ascii="Arial" w:cs="Arial" w:eastAsia="Arial" w:hAnsi="Arial"/>
          <w:color w:val="4A4A9C"/>
          <w:sz w:val="26"/>
          <w:szCs w:val="26"/>
        </w:rPr>
        <w:t xml:space="preserve">Sesiones del 1 y 2 de octubre de 2026 — Versión para Felipe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sz w:val="20"/>
                <w:szCs w:val="20"/>
              </w:rPr>
              <w:t xml:space="preserve">Sesión 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de octubre de 2026 — Revisión interna (Pablo, Fabián, Enrique) — 3h 37min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Sesión 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de octubre de 2026 — Reunión con Felipe (Pablo, Fabián, Enrique, Felipe) — 1h 7min</w:t>
            </w:r>
          </w:p>
        </w:tc>
      </w:tr>
      <w:tr>
        <w:tc>
          <w:tcPr>
            <w:tcW w:type="dxa" w:w="26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sz w:val="20"/>
                <w:szCs w:val="20"/>
              </w:rPr>
              <w:t xml:space="preserve">Próximos pasos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Felipe: ajustes comprometidos para el lunes. Reunión bilateral Pablo-Felipe: martes o miércoles después de las 5 PM.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Live: 15 de octubre de 2026. Marcha blanca en paralelo con Excel durante 2 semanas.</w:t>
            </w:r>
          </w:p>
        </w:tc>
      </w:tr>
    </w:tbl>
    <w:p>
      <w:pPr>
        <w:spacing w:after="0" w:before="200"/>
      </w:pPr>
    </w:p>
    <w:p>
      <w:pPr>
        <w:pBdr>
          <w:bottom w:val="single" w:color="DDDDDD" w:sz="6" w:space="1"/>
        </w:pBdr>
        <w:spacing w:after="160" w:before="160"/>
      </w:pPr>
    </w:p>
    <w:p>
      <w:pPr>
        <w:pBdr>
          <w:bottom w:val="single" w:color="CCCCCC" w:sz="6" w:space="1"/>
        </w:pBdr>
        <w:spacing w:after="120" w:before="300"/>
      </w:pPr>
      <w:r>
        <w:rPr>
          <w:rFonts w:ascii="Arial" w:cs="Arial" w:eastAsia="Arial" w:hAnsi="Arial"/>
          <w:b/>
          <w:bCs/>
          <w:color w:val="2E2E7A"/>
          <w:sz w:val="28"/>
          <w:szCs w:val="28"/>
        </w:rPr>
        <w:t xml:space="preserve">1. Resumen ejecutivo</w:t>
      </w:r>
    </w:p>
    <w:p>
      <w:pPr>
        <w:spacing w:after="60" w:before="60"/>
      </w:pPr>
      <w:r>
        <w:rPr>
          <w:rFonts w:ascii="Arial" w:cs="Arial" w:eastAsia="Arial" w:hAnsi="Arial"/>
          <w:sz w:val="22"/>
          <w:szCs w:val="22"/>
        </w:rPr>
        <w:t xml:space="preserve">Tras la revisión interna del 1 de octubre y la reunión con Felipe del 2 de octubre, se confirma que el sistema está listo para iniciar la marcha blanca. El equipo puede empezar a usar el Diario 2.0 en paralelo con el Excel a partir del lunes. Felipe se comprometió a tener los ajustes del lunes listos antes del inicio de la semana.</w:t>
      </w:r>
    </w:p>
    <w:p>
      <w:pPr>
        <w:spacing w:after="0" w:before="60"/>
      </w:pPr>
    </w:p>
    <w:p>
      <w:pPr>
        <w:spacing w:after="60" w:before="60"/>
      </w:pPr>
      <w:r>
        <w:rPr>
          <w:rFonts w:ascii="Arial" w:cs="Arial" w:eastAsia="Arial" w:hAnsi="Arial"/>
          <w:b/>
          <w:bCs/>
          <w:sz w:val="22"/>
          <w:szCs w:val="22"/>
        </w:rPr>
        <w:t xml:space="preserve">Lo que funciona bien hoy:</w:t>
      </w:r>
    </w:p>
    <w:p>
      <w:pPr>
        <w:pStyle w:val="ListParagraph"/>
        <w:numPr>
          <w:ilvl w:val="0"/>
          <w:numId w:val="2"/>
        </w:numPr>
        <w:spacing w:after="60" w:before="60"/>
      </w:pPr>
      <w:r>
        <w:rPr>
          <w:rFonts w:ascii="Arial" w:cs="Arial" w:eastAsia="Arial" w:hAnsi="Arial"/>
          <w:b w:val="false"/>
          <w:bCs w:val="false"/>
          <w:sz w:val="22"/>
          <w:szCs w:val="22"/>
        </w:rPr>
        <w:t xml:space="preserve">Monitor del Diario 2.0: viajes de QAnalytics, WingSuite y Falabella actualizándose cada 15 minutos.</w:t>
      </w:r>
    </w:p>
    <w:p>
      <w:pPr>
        <w:pStyle w:val="ListParagraph"/>
        <w:numPr>
          <w:ilvl w:val="0"/>
          <w:numId w:val="2"/>
        </w:numPr>
        <w:spacing w:after="60" w:before="60"/>
      </w:pPr>
      <w:r>
        <w:rPr>
          <w:rFonts w:ascii="Arial" w:cs="Arial" w:eastAsia="Arial" w:hAnsi="Arial"/>
          <w:b w:val="false"/>
          <w:bCs w:val="false"/>
          <w:sz w:val="22"/>
          <w:szCs w:val="22"/>
        </w:rPr>
        <w:t xml:space="preserve">Conductores asignados calzan correctamente con los viajes del día.</w:t>
      </w:r>
    </w:p>
    <w:p>
      <w:pPr>
        <w:pStyle w:val="ListParagraph"/>
        <w:numPr>
          <w:ilvl w:val="0"/>
          <w:numId w:val="2"/>
        </w:numPr>
        <w:spacing w:after="60" w:before="60"/>
      </w:pPr>
      <w:r>
        <w:rPr>
          <w:rFonts w:ascii="Arial" w:cs="Arial" w:eastAsia="Arial" w:hAnsi="Arial"/>
          <w:b w:val="false"/>
          <w:bCs w:val="false"/>
          <w:sz w:val="22"/>
          <w:szCs w:val="22"/>
        </w:rPr>
        <w:t xml:space="preserve">Flujo básico de certificaciones: crear empresa → agregar conductor/equipo → subir documentos → clasificar. Funciona sin problemas.</w:t>
      </w:r>
    </w:p>
    <w:p>
      <w:pPr>
        <w:pStyle w:val="ListParagraph"/>
        <w:numPr>
          <w:ilvl w:val="0"/>
          <w:numId w:val="2"/>
        </w:numPr>
        <w:spacing w:after="60" w:before="60"/>
      </w:pPr>
      <w:r>
        <w:rPr>
          <w:rFonts w:ascii="Arial" w:cs="Arial" w:eastAsia="Arial" w:hAnsi="Arial"/>
          <w:b w:val="false"/>
          <w:bCs w:val="false"/>
          <w:sz w:val="22"/>
          <w:szCs w:val="22"/>
        </w:rPr>
        <w:t xml:space="preserve">Módulo de seguros: vista por empresa con pólizas y cuotas operativa.</w:t>
      </w:r>
    </w:p>
    <w:p>
      <w:pPr>
        <w:pStyle w:val="ListParagraph"/>
        <w:numPr>
          <w:ilvl w:val="0"/>
          <w:numId w:val="2"/>
        </w:numPr>
        <w:spacing w:after="60" w:before="60"/>
      </w:pPr>
      <w:r>
        <w:rPr>
          <w:rFonts w:ascii="Arial" w:cs="Arial" w:eastAsia="Arial" w:hAnsi="Arial"/>
          <w:b w:val="false"/>
          <w:bCs w:val="false"/>
          <w:sz w:val="22"/>
          <w:szCs w:val="22"/>
        </w:rPr>
        <w:t xml:space="preserve">Cierre del día: el flujo básico de conductores no asignados con motivo está operativo.</w:t>
      </w:r>
    </w:p>
    <w:p>
      <w:pPr>
        <w:spacing w:after="0" w:before="60"/>
      </w:pPr>
    </w:p>
    <w:p>
      <w:pPr>
        <w:spacing w:after="60" w:before="60"/>
      </w:pPr>
      <w:r>
        <w:rPr>
          <w:rFonts w:ascii="Arial" w:cs="Arial" w:eastAsia="Arial" w:hAnsi="Arial"/>
          <w:b/>
          <w:bCs/>
          <w:sz w:val="22"/>
          <w:szCs w:val="22"/>
        </w:rPr>
        <w:t xml:space="preserve">Lo que Felipe ajusta esta semana:</w:t>
      </w:r>
    </w:p>
    <w:p>
      <w:pPr>
        <w:pStyle w:val="ListParagraph"/>
        <w:numPr>
          <w:ilvl w:val="0"/>
          <w:numId w:val="2"/>
        </w:numPr>
        <w:spacing w:after="60" w:before="60"/>
      </w:pPr>
      <w:r>
        <w:rPr>
          <w:rFonts w:ascii="Arial" w:cs="Arial" w:eastAsia="Arial" w:hAnsi="Arial"/>
          <w:b w:val="false"/>
          <w:bCs w:val="false"/>
          <w:sz w:val="22"/>
          <w:szCs w:val="22"/>
        </w:rPr>
        <w:t xml:space="preserve">Sincronización de pestañas conductores/tractos en el cierre.</w:t>
      </w:r>
    </w:p>
    <w:p>
      <w:pPr>
        <w:pStyle w:val="ListParagraph"/>
        <w:numPr>
          <w:ilvl w:val="0"/>
          <w:numId w:val="2"/>
        </w:numPr>
        <w:spacing w:after="60" w:before="60"/>
      </w:pPr>
      <w:r>
        <w:rPr>
          <w:rFonts w:ascii="Arial" w:cs="Arial" w:eastAsia="Arial" w:hAnsi="Arial"/>
          <w:b w:val="false"/>
          <w:bCs w:val="false"/>
          <w:sz w:val="22"/>
          <w:szCs w:val="22"/>
        </w:rPr>
        <w:t xml:space="preserve">Vista de cierre de viajes con información de contexto.</w:t>
      </w:r>
    </w:p>
    <w:p>
      <w:pPr>
        <w:pStyle w:val="ListParagraph"/>
        <w:numPr>
          <w:ilvl w:val="0"/>
          <w:numId w:val="2"/>
        </w:numPr>
        <w:spacing w:after="60" w:before="60"/>
      </w:pPr>
      <w:r>
        <w:rPr>
          <w:rFonts w:ascii="Arial" w:cs="Arial" w:eastAsia="Arial" w:hAnsi="Arial"/>
          <w:b w:val="false"/>
          <w:bCs w:val="false"/>
          <w:sz w:val="22"/>
          <w:szCs w:val="22"/>
        </w:rPr>
        <w:t xml:space="preserve">Limpieza automática de viajes eliminados del TMS.</w:t>
      </w:r>
    </w:p>
    <w:p>
      <w:pPr>
        <w:pStyle w:val="ListParagraph"/>
        <w:numPr>
          <w:ilvl w:val="0"/>
          <w:numId w:val="2"/>
        </w:numPr>
        <w:spacing w:after="60" w:before="60"/>
      </w:pPr>
      <w:r>
        <w:rPr>
          <w:rFonts w:ascii="Arial" w:cs="Arial" w:eastAsia="Arial" w:hAnsi="Arial"/>
          <w:b w:val="false"/>
          <w:bCs w:val="false"/>
          <w:sz w:val="22"/>
          <w:szCs w:val="22"/>
        </w:rPr>
        <w:t xml:space="preserve">Vencimiento mensual en documentos adicionales.</w:t>
      </w:r>
    </w:p>
    <w:p>
      <w:pPr>
        <w:pStyle w:val="ListParagraph"/>
        <w:numPr>
          <w:ilvl w:val="0"/>
          <w:numId w:val="2"/>
        </w:numPr>
        <w:spacing w:after="60" w:before="60"/>
      </w:pPr>
      <w:r>
        <w:rPr>
          <w:rFonts w:ascii="Arial" w:cs="Arial" w:eastAsia="Arial" w:hAnsi="Arial"/>
          <w:b w:val="false"/>
          <w:bCs w:val="false"/>
          <w:sz w:val="22"/>
          <w:szCs w:val="22"/>
        </w:rPr>
        <w:t xml:space="preserve">Opción de editar el cliente asignado a una empresa post-creación.</w:t>
      </w:r>
    </w:p>
    <w:p>
      <w:pPr>
        <w:spacing w:after="0" w:before="200"/>
      </w:pPr>
    </w:p>
    <w:p>
      <w:pPr>
        <w:pBdr>
          <w:bottom w:val="single" w:color="DDDDDD" w:sz="6" w:space="1"/>
        </w:pBdr>
        <w:spacing w:after="160" w:before="160"/>
      </w:pPr>
    </w:p>
    <w:p>
      <w:pPr>
        <w:pBdr>
          <w:bottom w:val="single" w:color="CCCCCC" w:sz="6" w:space="1"/>
        </w:pBdr>
        <w:spacing w:after="120" w:before="300"/>
      </w:pPr>
      <w:r>
        <w:rPr>
          <w:rFonts w:ascii="Arial" w:cs="Arial" w:eastAsia="Arial" w:hAnsi="Arial"/>
          <w:b/>
          <w:bCs/>
          <w:color w:val="2E2E7A"/>
          <w:sz w:val="28"/>
          <w:szCs w:val="28"/>
        </w:rPr>
        <w:t xml:space="preserve">2. Acuerdos de reglas de negocio — reunión 2 de octubre</w:t>
      </w:r>
    </w:p>
    <w:p>
      <w:pPr>
        <w:spacing w:after="100" w:before="220"/>
      </w:pPr>
      <w:r>
        <w:rPr>
          <w:rFonts w:ascii="Arial" w:cs="Arial" w:eastAsia="Arial" w:hAnsi="Arial"/>
          <w:b/>
          <w:bCs/>
          <w:color w:val="4A4A9C"/>
          <w:sz w:val="24"/>
          <w:szCs w:val="24"/>
        </w:rPr>
        <w:t xml:space="preserve">2.1 Viajes sin cambio de estado por largo tiempo — regla de visibilidad</w:t>
      </w:r>
    </w:p>
    <w:p>
      <w:pPr>
        <w:spacing w:after="60" w:before="60"/>
      </w:pPr>
      <w:r>
        <w:rPr>
          <w:rFonts w:ascii="Arial" w:cs="Arial" w:eastAsia="Arial" w:hAnsi="Arial"/>
          <w:sz w:val="22"/>
          <w:szCs w:val="22"/>
        </w:rPr>
        <w:t xml:space="preserve">Acuerdo alcanzado con Felipe:</w:t>
      </w:r>
    </w:p>
    <w:p>
      <w:pPr>
        <w:pStyle w:val="ListParagraph"/>
        <w:numPr>
          <w:ilvl w:val="0"/>
          <w:numId w:val="2"/>
        </w:numPr>
        <w:spacing w:after="60" w:before="60"/>
      </w:pPr>
      <w:r>
        <w:rPr>
          <w:rFonts w:ascii="Arial" w:cs="Arial" w:eastAsia="Arial" w:hAnsi="Arial"/>
          <w:b w:val="false"/>
          <w:bCs w:val="false"/>
          <w:sz w:val="22"/>
          <w:szCs w:val="22"/>
        </w:rPr>
        <w:t xml:space="preserve">Si un viaje no ha cambiado de estado desde su última fecha de entrega en el destino por más de X días (umbral a definir por WebCarga), el viaje sale de la vista activa del diario.</w:t>
      </w:r>
    </w:p>
    <w:p>
      <w:pPr>
        <w:pStyle w:val="ListParagraph"/>
        <w:numPr>
          <w:ilvl w:val="0"/>
          <w:numId w:val="2"/>
        </w:numPr>
        <w:spacing w:after="60" w:before="60"/>
      </w:pPr>
      <w:r>
        <w:rPr>
          <w:rFonts w:ascii="Arial" w:cs="Arial" w:eastAsia="Arial" w:hAnsi="Arial"/>
          <w:b w:val="false"/>
          <w:bCs w:val="false"/>
          <w:sz w:val="22"/>
          <w:szCs w:val="22"/>
        </w:rPr>
        <w:t xml:space="preserve">El viaje NO se elimina, NO se le cambia el estado, y sigue disponible en el historial y en la herramienta de gestión de facturación/finanzas.</w:t>
      </w:r>
    </w:p>
    <w:p>
      <w:pPr>
        <w:pStyle w:val="ListParagraph"/>
        <w:numPr>
          <w:ilvl w:val="0"/>
          <w:numId w:val="2"/>
        </w:numPr>
        <w:spacing w:after="60" w:before="60"/>
      </w:pPr>
      <w:r>
        <w:rPr>
          <w:rFonts w:ascii="Arial" w:cs="Arial" w:eastAsia="Arial" w:hAnsi="Arial"/>
          <w:b w:val="false"/>
          <w:bCs w:val="false"/>
          <w:sz w:val="22"/>
          <w:szCs w:val="22"/>
        </w:rPr>
        <w:t xml:space="preserve">Esto aplica para viajes como equipos completos de Walmart que quedan en 'retornando' por semanas porque QAnalytics nunca les cambia el estado.</w:t>
      </w:r>
    </w:p>
    <w:p>
      <w:pPr>
        <w:pStyle w:val="ListParagraph"/>
        <w:numPr>
          <w:ilvl w:val="0"/>
          <w:numId w:val="2"/>
        </w:numPr>
        <w:spacing w:after="60" w:before="60"/>
      </w:pPr>
      <w:r>
        <w:rPr>
          <w:rFonts w:ascii="Arial" w:cs="Arial" w:eastAsia="Arial" w:hAnsi="Arial"/>
          <w:b w:val="false"/>
          <w:bCs w:val="false"/>
          <w:sz w:val="22"/>
          <w:szCs w:val="22"/>
        </w:rPr>
        <w:t xml:space="preserve">El estado del TMS siempre manda — WebCarga no fuerza ningún cambio de estado. Solo se gestiona la visibilidad en el diario activo.</w:t>
      </w:r>
    </w:p>
    <w:p>
      <w:pPr>
        <w:spacing w:after="60" w:before="60"/>
      </w:pPr>
      <w:r>
        <w:rPr>
          <w:rFonts w:ascii="Arial" w:cs="Arial" w:eastAsia="Arial" w:hAnsi="Arial"/>
          <w:color w:val="8B0000"/>
          <w:sz w:val="22"/>
          <w:szCs w:val="22"/>
        </w:rPr>
        <w:t xml:space="preserve">Acción pendiente de WebCarga: definir el umbral de días antes del lunes.</w:t>
      </w:r>
    </w:p>
    <w:p>
      <w:pPr>
        <w:spacing w:after="0" w:before="80"/>
      </w:pPr>
    </w:p>
    <w:p>
      <w:pPr>
        <w:spacing w:after="100" w:before="220"/>
      </w:pPr>
      <w:r>
        <w:rPr>
          <w:rFonts w:ascii="Arial" w:cs="Arial" w:eastAsia="Arial" w:hAnsi="Arial"/>
          <w:b/>
          <w:bCs/>
          <w:color w:val="4A4A9C"/>
          <w:sz w:val="24"/>
          <w:szCs w:val="24"/>
        </w:rPr>
        <w:t xml:space="preserve">2.2 Viajes eliminados del TMS</w:t>
      </w:r>
    </w:p>
    <w:p>
      <w:pPr>
        <w:spacing w:after="60" w:before="60"/>
      </w:pPr>
      <w:r>
        <w:rPr>
          <w:rFonts w:ascii="Arial" w:cs="Arial" w:eastAsia="Arial" w:hAnsi="Arial"/>
          <w:sz w:val="22"/>
          <w:szCs w:val="22"/>
        </w:rPr>
        <w:t xml:space="preserve">Si el TMS ya no reporta el viaje (fue eliminado), el sistema lo elimina automáticamente del monitor. No queda como 'abandonado'.</w:t>
      </w:r>
    </w:p>
    <w:p>
      <w:pPr>
        <w:spacing w:after="60" w:before="60"/>
      </w:pPr>
      <w:r>
        <w:rPr>
          <w:rFonts w:ascii="Arial" w:cs="Arial" w:eastAsia="Arial" w:hAnsi="Arial"/>
          <w:sz w:val="22"/>
          <w:szCs w:val="22"/>
        </w:rPr>
        <w:t xml:space="preserve">Implementación: Felipe agrega la regla automática.</w:t>
      </w:r>
    </w:p>
    <w:p>
      <w:pPr>
        <w:spacing w:after="0" w:before="80"/>
      </w:pPr>
    </w:p>
    <w:p>
      <w:pPr>
        <w:spacing w:after="100" w:before="220"/>
      </w:pPr>
      <w:r>
        <w:rPr>
          <w:rFonts w:ascii="Arial" w:cs="Arial" w:eastAsia="Arial" w:hAnsi="Arial"/>
          <w:b/>
          <w:bCs/>
          <w:color w:val="4A4A9C"/>
          <w:sz w:val="24"/>
          <w:szCs w:val="24"/>
        </w:rPr>
        <w:t xml:space="preserve">2.3 Patentes de otras empresas en el TMS</w:t>
      </w:r>
    </w:p>
    <w:p>
      <w:pPr>
        <w:spacing w:after="60" w:before="60"/>
      </w:pPr>
      <w:r>
        <w:rPr>
          <w:rFonts w:ascii="Arial" w:cs="Arial" w:eastAsia="Arial" w:hAnsi="Arial"/>
          <w:sz w:val="22"/>
          <w:szCs w:val="22"/>
        </w:rPr>
        <w:t xml:space="preserve">Si una patente aparece en el TMS pero no está en el directorio de WebCarga, el sistema la muestra con una alerta visible. No se elimina automáticamente. El usuario calificado (María Eugenia) decide si corresponde o no.</w:t>
      </w:r>
    </w:p>
    <w:p>
      <w:pPr>
        <w:spacing w:after="60" w:before="60"/>
      </w:pPr>
      <w:r>
        <w:rPr>
          <w:rFonts w:ascii="Arial" w:cs="Arial" w:eastAsia="Arial" w:hAnsi="Arial"/>
          <w:sz w:val="22"/>
          <w:szCs w:val="22"/>
        </w:rPr>
        <w:t xml:space="preserve">Razón: puede ser un equipo nuevo que aún no fue ingresado al directorio, o puede ser una empresa que se cambió a la competencia 'a la mala' — que también es importante detectar.</w:t>
      </w:r>
    </w:p>
    <w:p>
      <w:pPr>
        <w:spacing w:after="60" w:before="60"/>
      </w:pPr>
      <w:r>
        <w:rPr>
          <w:rFonts w:ascii="Arial" w:cs="Arial" w:eastAsia="Arial" w:hAnsi="Arial"/>
          <w:sz w:val="22"/>
          <w:szCs w:val="22"/>
        </w:rPr>
        <w:t xml:space="preserve">Acción inmediata: Fabián manda mail a QAnalytics para retirar la patente GPR Z30 de Transporte Bugarín.</w:t>
      </w:r>
    </w:p>
    <w:p>
      <w:pPr>
        <w:spacing w:after="0" w:before="80"/>
      </w:pPr>
    </w:p>
    <w:p>
      <w:pPr>
        <w:spacing w:after="100" w:before="220"/>
      </w:pPr>
      <w:r>
        <w:rPr>
          <w:rFonts w:ascii="Arial" w:cs="Arial" w:eastAsia="Arial" w:hAnsi="Arial"/>
          <w:b/>
          <w:bCs/>
          <w:color w:val="4A4A9C"/>
          <w:sz w:val="24"/>
          <w:szCs w:val="24"/>
        </w:rPr>
        <w:t xml:space="preserve">2.4 Estructura del cierre del día — acuerdo con Felipe</w:t>
      </w:r>
    </w:p>
    <w:p>
      <w:pPr>
        <w:spacing w:after="60" w:before="60"/>
      </w:pPr>
      <w:r>
        <w:rPr>
          <w:rFonts w:ascii="Arial" w:cs="Arial" w:eastAsia="Arial" w:hAnsi="Arial"/>
          <w:sz w:val="22"/>
          <w:szCs w:val="22"/>
        </w:rPr>
        <w:t xml:space="preserve">El cierre tiene tres pestañas (conductores, tracto, equipo completo). El problema identificado es que el coordinador hace la gestión en la pestaña de conductores y luego tiene que repetir el trabajo en la pestaña de tractos.</w:t>
      </w:r>
    </w:p>
    <w:p>
      <w:pPr>
        <w:spacing w:after="60" w:before="60"/>
      </w:pPr>
      <w:r>
        <w:rPr>
          <w:rFonts w:ascii="Arial" w:cs="Arial" w:eastAsia="Arial" w:hAnsi="Arial"/>
          <w:sz w:val="22"/>
          <w:szCs w:val="22"/>
        </w:rPr>
        <w:t xml:space="preserve">Solución acordada: sincronizar automáticamente las pestañas. Lo que el coordinador hace en conductores se refleja en tractos sin tener que hacerlo dos veces. La pestaña de equipo completo sigue separada porque son activos distintos.</w:t>
      </w:r>
    </w:p>
    <w:p>
      <w:pPr>
        <w:spacing w:after="60" w:before="60"/>
      </w:pPr>
      <w:r>
        <w:rPr>
          <w:rFonts w:ascii="Arial" w:cs="Arial" w:eastAsia="Arial" w:hAnsi="Arial"/>
          <w:sz w:val="22"/>
          <w:szCs w:val="22"/>
        </w:rPr>
        <w:t xml:space="preserve">Visión de Felipe para más adelante: crear submódulos separados dentro de Operaciones — 'Cierre' (acción) y 'Reporte' (visualización y export). El reporte se alimenta automáticamente de lo que se hizo en el cierre.</w:t>
      </w:r>
    </w:p>
    <w:p>
      <w:pPr>
        <w:spacing w:after="0" w:before="80"/>
      </w:pPr>
    </w:p>
    <w:p>
      <w:pPr>
        <w:spacing w:after="100" w:before="220"/>
      </w:pPr>
      <w:r>
        <w:rPr>
          <w:rFonts w:ascii="Arial" w:cs="Arial" w:eastAsia="Arial" w:hAnsi="Arial"/>
          <w:b/>
          <w:bCs/>
          <w:color w:val="4A4A9C"/>
          <w:sz w:val="24"/>
          <w:szCs w:val="24"/>
        </w:rPr>
        <w:t xml:space="preserve">2.5 Fechas de vencimiento en documentos adicionales</w:t>
      </w:r>
    </w:p>
    <w:p>
      <w:pPr>
        <w:spacing w:after="60" w:before="60"/>
      </w:pPr>
      <w:r>
        <w:rPr>
          <w:rFonts w:ascii="Arial" w:cs="Arial" w:eastAsia="Arial" w:hAnsi="Arial"/>
          <w:sz w:val="22"/>
          <w:szCs w:val="22"/>
        </w:rPr>
        <w:t xml:space="preserve">Situación: hoy se pueden crear documentos adicionales (F30, F30-1, etc.) pero no se les puede asignar recurrencia mensual. El sistema no permite poner fecha de vencimiento al crear el tipo de documento.</w:t>
      </w:r>
    </w:p>
    <w:p>
      <w:pPr>
        <w:spacing w:after="60" w:before="60"/>
      </w:pPr>
      <w:r>
        <w:rPr>
          <w:rFonts w:ascii="Arial" w:cs="Arial" w:eastAsia="Arial" w:hAnsi="Arial"/>
          <w:sz w:val="22"/>
          <w:szCs w:val="22"/>
        </w:rPr>
        <w:t xml:space="preserve">Acuerdo: Felipe habilita la opción de asignar frecuencia de vencimiento al crear el tipo de documento (mensual, anual, semestral). Esto permite que el F30-1 aparezca como vencido automáticamente todos los meses sin tener que crear una nueva entrada cada vez.</w:t>
      </w:r>
    </w:p>
    <w:p>
      <w:pPr>
        <w:spacing w:after="60" w:before="60"/>
      </w:pPr>
      <w:r>
        <w:rPr>
          <w:rFonts w:ascii="Arial" w:cs="Arial" w:eastAsia="Arial" w:hAnsi="Arial"/>
          <w:sz w:val="22"/>
          <w:szCs w:val="22"/>
        </w:rPr>
        <w:t xml:space="preserve">Contexto Pronexo: Enrique informó que Pronexo tiene plazos estrictos — F30 hasta el día 5 del mes, F30-1 hasta el día 18. Felipe confirmó que el sistema puede parametrizarse por cliente.</w:t>
      </w:r>
    </w:p>
    <w:p>
      <w:pPr>
        <w:spacing w:after="0" w:before="200"/>
      </w:pPr>
    </w:p>
    <w:p>
      <w:pPr>
        <w:pBdr>
          <w:bottom w:val="single" w:color="DDDDDD" w:sz="6" w:space="1"/>
        </w:pBdr>
        <w:spacing w:after="160" w:before="160"/>
      </w:pPr>
    </w:p>
    <w:p>
      <w:pPr>
        <w:pBdr>
          <w:bottom w:val="single" w:color="CCCCCC" w:sz="6" w:space="1"/>
        </w:pBdr>
        <w:spacing w:after="120" w:before="300"/>
      </w:pPr>
      <w:r>
        <w:rPr>
          <w:rFonts w:ascii="Arial" w:cs="Arial" w:eastAsia="Arial" w:hAnsi="Arial"/>
          <w:b/>
          <w:bCs/>
          <w:color w:val="2E2E7A"/>
          <w:sz w:val="28"/>
          <w:szCs w:val="28"/>
        </w:rPr>
        <w:t xml:space="preserve">3. Estado actual por módulo</w:t>
      </w:r>
    </w:p>
    <w:p>
      <w:pPr>
        <w:spacing w:after="100" w:before="220"/>
      </w:pPr>
      <w:r>
        <w:rPr>
          <w:rFonts w:ascii="Arial" w:cs="Arial" w:eastAsia="Arial" w:hAnsi="Arial"/>
          <w:b/>
          <w:bCs/>
          <w:color w:val="4A4A9C"/>
          <w:sz w:val="24"/>
          <w:szCs w:val="24"/>
        </w:rPr>
        <w:t xml:space="preserve">3.1 Monitor / Diario 2.0</w:t>
      </w:r>
    </w:p>
    <w:p>
      <w:pPr>
        <w:pStyle w:val="ListParagraph"/>
        <w:numPr>
          <w:ilvl w:val="0"/>
          <w:numId w:val="2"/>
        </w:numPr>
        <w:spacing w:after="60" w:before="60"/>
      </w:pPr>
      <w:r>
        <w:rPr>
          <w:rFonts w:ascii="Arial" w:cs="Arial" w:eastAsia="Arial" w:hAnsi="Arial"/>
          <w:b w:val="false"/>
          <w:bCs w:val="false"/>
          <w:sz w:val="22"/>
          <w:szCs w:val="22"/>
        </w:rPr>
        <w:t xml:space="preserve">Funcionando correctamente. Los 3 TMS actualizándose cada 15 minutos.</w:t>
      </w:r>
    </w:p>
    <w:p>
      <w:pPr>
        <w:pStyle w:val="ListParagraph"/>
        <w:numPr>
          <w:ilvl w:val="0"/>
          <w:numId w:val="2"/>
        </w:numPr>
        <w:spacing w:after="60" w:before="60"/>
      </w:pPr>
      <w:r>
        <w:rPr>
          <w:rFonts w:ascii="Arial" w:cs="Arial" w:eastAsia="Arial" w:hAnsi="Arial"/>
          <w:b w:val="false"/>
          <w:bCs w:val="false"/>
          <w:sz w:val="22"/>
          <w:szCs w:val="22"/>
        </w:rPr>
        <w:t xml:space="preserve">Diferencia de 4 patentes sin conductor entre la vista de conductores y la de tractos — son tractos activos sin conductor habitual asignado. El coordinador debe registrar el estado en el cierre.</w:t>
      </w:r>
    </w:p>
    <w:p>
      <w:pPr>
        <w:pStyle w:val="ListParagraph"/>
        <w:numPr>
          <w:ilvl w:val="0"/>
          <w:numId w:val="2"/>
        </w:numPr>
        <w:spacing w:after="60" w:before="60"/>
      </w:pPr>
      <w:r>
        <w:rPr>
          <w:rFonts w:ascii="Arial" w:cs="Arial" w:eastAsia="Arial" w:hAnsi="Arial"/>
          <w:b w:val="false"/>
          <w:bCs w:val="false"/>
          <w:sz w:val="22"/>
          <w:szCs w:val="22"/>
        </w:rPr>
        <w:t xml:space="preserve">Empresa Fortaleza: aparece en el cierre aunque ya no opera con WebCarga. Fabián la da de baja desde el directorio.</w:t>
      </w:r>
    </w:p>
    <w:p>
      <w:pPr>
        <w:spacing w:after="0" w:before="80"/>
      </w:pPr>
    </w:p>
    <w:p>
      <w:pPr>
        <w:spacing w:after="100" w:before="220"/>
      </w:pPr>
      <w:r>
        <w:rPr>
          <w:rFonts w:ascii="Arial" w:cs="Arial" w:eastAsia="Arial" w:hAnsi="Arial"/>
          <w:b/>
          <w:bCs/>
          <w:color w:val="4A4A9C"/>
          <w:sz w:val="24"/>
          <w:szCs w:val="24"/>
        </w:rPr>
        <w:t xml:space="preserve">3.2 Cierre del día</w:t>
      </w:r>
    </w:p>
    <w:p>
      <w:pPr>
        <w:pStyle w:val="ListParagraph"/>
        <w:numPr>
          <w:ilvl w:val="0"/>
          <w:numId w:val="2"/>
        </w:numPr>
        <w:spacing w:after="60" w:before="60"/>
      </w:pPr>
      <w:r>
        <w:rPr>
          <w:rFonts w:ascii="Arial" w:cs="Arial" w:eastAsia="Arial" w:hAnsi="Arial"/>
          <w:b w:val="false"/>
          <w:bCs w:val="false"/>
          <w:sz w:val="22"/>
          <w:szCs w:val="22"/>
        </w:rPr>
        <w:t xml:space="preserve">Flujo básico operativo. Se puede empezar la marcha blanca.</w:t>
      </w:r>
    </w:p>
    <w:p>
      <w:pPr>
        <w:pStyle w:val="ListParagraph"/>
        <w:numPr>
          <w:ilvl w:val="0"/>
          <w:numId w:val="2"/>
        </w:numPr>
        <w:spacing w:after="60" w:before="60"/>
      </w:pPr>
      <w:r>
        <w:rPr>
          <w:rFonts w:ascii="Arial" w:cs="Arial" w:eastAsia="Arial" w:hAnsi="Arial"/>
          <w:b w:val="false"/>
          <w:bCs w:val="false"/>
          <w:sz w:val="22"/>
          <w:szCs w:val="22"/>
        </w:rPr>
        <w:t xml:space="preserve">Pendiente de Felipe: sincronización conductores/tractos, más información en el cierre de viajes, limpieza automática de viajes eliminados.</w:t>
      </w:r>
    </w:p>
    <w:p>
      <w:pPr>
        <w:pStyle w:val="ListParagraph"/>
        <w:numPr>
          <w:ilvl w:val="0"/>
          <w:numId w:val="2"/>
        </w:numPr>
        <w:spacing w:after="60" w:before="60"/>
      </w:pPr>
      <w:r>
        <w:rPr>
          <w:rFonts w:ascii="Arial" w:cs="Arial" w:eastAsia="Arial" w:hAnsi="Arial"/>
          <w:b w:val="false"/>
          <w:bCs w:val="false"/>
          <w:sz w:val="22"/>
          <w:szCs w:val="22"/>
        </w:rPr>
        <w:t xml:space="preserve">Reporte del cierre: por ahora el coordinador puede sacar pantallazos del reporte en pantalla y pegarlos en un mail. El export automatizado viene en una etapa posterior.</w:t>
      </w:r>
    </w:p>
    <w:p>
      <w:pPr>
        <w:pStyle w:val="ListParagraph"/>
        <w:numPr>
          <w:ilvl w:val="0"/>
          <w:numId w:val="2"/>
        </w:numPr>
        <w:spacing w:after="60" w:before="60"/>
      </w:pPr>
      <w:r>
        <w:rPr>
          <w:rFonts w:ascii="Arial" w:cs="Arial" w:eastAsia="Arial" w:hAnsi="Arial"/>
          <w:b w:val="false"/>
          <w:bCs w:val="false"/>
          <w:sz w:val="22"/>
          <w:szCs w:val="22"/>
        </w:rPr>
        <w:t xml:space="preserve">Estado 'se retira sin carga': conductor que se presentó pero no tuvo carga disponible. Va en el bloque de 'no asignados' del cierre (se presentó, estaba disponible, no hubo carga). No va en 'no trabajando'.</w:t>
      </w:r>
    </w:p>
    <w:p>
      <w:pPr>
        <w:spacing w:after="0" w:before="80"/>
      </w:pPr>
    </w:p>
    <w:p>
      <w:pPr>
        <w:spacing w:after="100" w:before="220"/>
      </w:pPr>
      <w:r>
        <w:rPr>
          <w:rFonts w:ascii="Arial" w:cs="Arial" w:eastAsia="Arial" w:hAnsi="Arial"/>
          <w:b/>
          <w:bCs/>
          <w:color w:val="4A4A9C"/>
          <w:sz w:val="24"/>
          <w:szCs w:val="24"/>
        </w:rPr>
        <w:t xml:space="preserve">3.3 Módulo de certificaciones y directorio</w:t>
      </w:r>
    </w:p>
    <w:p>
      <w:pPr>
        <w:pStyle w:val="ListParagraph"/>
        <w:numPr>
          <w:ilvl w:val="0"/>
          <w:numId w:val="2"/>
        </w:numPr>
        <w:spacing w:after="60" w:before="60"/>
      </w:pPr>
      <w:r>
        <w:rPr>
          <w:rFonts w:ascii="Arial" w:cs="Arial" w:eastAsia="Arial" w:hAnsi="Arial"/>
          <w:b w:val="false"/>
          <w:bCs w:val="false"/>
          <w:sz w:val="22"/>
          <w:szCs w:val="22"/>
        </w:rPr>
        <w:t xml:space="preserve">Flujo base funcionando: crear empresa → conductor/equipo → documentos. Confirmado en ambas sesiones.</w:t>
      </w:r>
    </w:p>
    <w:p>
      <w:pPr>
        <w:pStyle w:val="ListParagraph"/>
        <w:numPr>
          <w:ilvl w:val="0"/>
          <w:numId w:val="2"/>
        </w:numPr>
        <w:spacing w:after="60" w:before="60"/>
      </w:pPr>
      <w:r>
        <w:rPr>
          <w:rFonts w:ascii="Arial" w:cs="Arial" w:eastAsia="Arial" w:hAnsi="Arial"/>
          <w:b w:val="false"/>
          <w:bCs w:val="false"/>
          <w:sz w:val="22"/>
          <w:szCs w:val="22"/>
        </w:rPr>
        <w:t xml:space="preserve">Documentos opcionales por empresa/cliente: Felipe confirmó que ya está configurado. Fabián y Enrique deben revisar cómo usarlo.</w:t>
      </w:r>
    </w:p>
    <w:p>
      <w:pPr>
        <w:pStyle w:val="ListParagraph"/>
        <w:numPr>
          <w:ilvl w:val="0"/>
          <w:numId w:val="2"/>
        </w:numPr>
        <w:spacing w:after="60" w:before="60"/>
      </w:pPr>
      <w:r>
        <w:rPr>
          <w:rFonts w:ascii="Arial" w:cs="Arial" w:eastAsia="Arial" w:hAnsi="Arial"/>
          <w:b w:val="false"/>
          <w:bCs w:val="false"/>
          <w:sz w:val="22"/>
          <w:szCs w:val="22"/>
        </w:rPr>
        <w:t xml:space="preserve">Vista de documentos vencidos existe pero cuesta navegar. Felipe agrega un panel tipo 'sábana' para verlos por tipo de documento.</w:t>
      </w:r>
    </w:p>
    <w:p>
      <w:pPr>
        <w:pStyle w:val="ListParagraph"/>
        <w:numPr>
          <w:ilvl w:val="0"/>
          <w:numId w:val="2"/>
        </w:numPr>
        <w:spacing w:after="60" w:before="60"/>
      </w:pPr>
      <w:r>
        <w:rPr>
          <w:rFonts w:ascii="Arial" w:cs="Arial" w:eastAsia="Arial" w:hAnsi="Arial"/>
          <w:b w:val="false"/>
          <w:bCs w:val="false"/>
          <w:sz w:val="22"/>
          <w:szCs w:val="22"/>
        </w:rPr>
        <w:t xml:space="preserve">Títulos de documentos editables desde Configuración directamente — Enrique puede hacerlo sin necesitar a Felipe.</w:t>
      </w:r>
    </w:p>
    <w:p>
      <w:pPr>
        <w:spacing w:after="0" w:before="80"/>
      </w:pPr>
    </w:p>
    <w:p>
      <w:pPr>
        <w:spacing w:after="100" w:before="220"/>
      </w:pPr>
      <w:r>
        <w:rPr>
          <w:rFonts w:ascii="Arial" w:cs="Arial" w:eastAsia="Arial" w:hAnsi="Arial"/>
          <w:b/>
          <w:bCs/>
          <w:color w:val="4A4A9C"/>
          <w:sz w:val="24"/>
          <w:szCs w:val="24"/>
        </w:rPr>
        <w:t xml:space="preserve">3.4 Módulo de seguros</w:t>
      </w:r>
    </w:p>
    <w:p>
      <w:pPr>
        <w:pStyle w:val="ListParagraph"/>
        <w:numPr>
          <w:ilvl w:val="0"/>
          <w:numId w:val="2"/>
        </w:numPr>
        <w:spacing w:after="60" w:before="60"/>
      </w:pPr>
      <w:r>
        <w:rPr>
          <w:rFonts w:ascii="Arial" w:cs="Arial" w:eastAsia="Arial" w:hAnsi="Arial"/>
          <w:b w:val="false"/>
          <w:bCs w:val="false"/>
          <w:sz w:val="22"/>
          <w:szCs w:val="22"/>
        </w:rPr>
        <w:t xml:space="preserve">Vista por empresa con pólizas y cuotas operativa.</w:t>
      </w:r>
    </w:p>
    <w:p>
      <w:pPr>
        <w:pStyle w:val="ListParagraph"/>
        <w:numPr>
          <w:ilvl w:val="0"/>
          <w:numId w:val="2"/>
        </w:numPr>
        <w:spacing w:after="60" w:before="60"/>
      </w:pPr>
      <w:r>
        <w:rPr>
          <w:rFonts w:ascii="Arial" w:cs="Arial" w:eastAsia="Arial" w:hAnsi="Arial"/>
          <w:b w:val="false"/>
          <w:bCs w:val="false"/>
          <w:sz w:val="22"/>
          <w:szCs w:val="22"/>
        </w:rPr>
        <w:t xml:space="preserve">Pendiente verificar si el archivo de póliza cargado en certificaciones se refleja en seguros o hay que cargarlo dos veces. Enrique coordina con Karen.</w:t>
      </w:r>
    </w:p>
    <w:p>
      <w:pPr>
        <w:spacing w:after="0" w:before="200"/>
      </w:pPr>
    </w:p>
    <w:p>
      <w:pPr>
        <w:pBdr>
          <w:bottom w:val="single" w:color="DDDDDD" w:sz="6" w:space="1"/>
        </w:pBdr>
        <w:spacing w:after="160" w:before="160"/>
      </w:pPr>
    </w:p>
    <w:p>
      <w:pPr>
        <w:pBdr>
          <w:bottom w:val="single" w:color="CCCCCC" w:sz="6" w:space="1"/>
        </w:pBdr>
        <w:spacing w:after="120" w:before="300"/>
      </w:pPr>
      <w:r>
        <w:rPr>
          <w:rFonts w:ascii="Arial" w:cs="Arial" w:eastAsia="Arial" w:hAnsi="Arial"/>
          <w:b/>
          <w:bCs/>
          <w:color w:val="2E2E7A"/>
          <w:sz w:val="28"/>
          <w:szCs w:val="28"/>
        </w:rPr>
        <w:t xml:space="preserve">4. Tabla de pendientes</w:t>
      </w:r>
    </w:p>
    <w:p>
      <w:pPr>
        <w:spacing w:after="0" w:before="60"/>
      </w:pPr>
    </w:p>
    <w:p>
      <w:pPr>
        <w:spacing w:after="100" w:before="220"/>
      </w:pPr>
      <w:r>
        <w:rPr>
          <w:rFonts w:ascii="Arial" w:cs="Arial" w:eastAsia="Arial" w:hAnsi="Arial"/>
          <w:b/>
          <w:bCs/>
          <w:color w:val="4A4A9C"/>
          <w:sz w:val="24"/>
          <w:szCs w:val="24"/>
        </w:rPr>
        <w:t xml:space="preserve">A. Requerimientos para Felipe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5000"/>
        <w:gridCol w:w="1700"/>
        <w:gridCol w:w="2320"/>
      </w:tblGrid>
      <w:tr>
        <w:tc>
          <w:tcPr>
            <w:tcW w:type="dxa" w:w="340"/>
            <w:tcBorders>
              <w:top w:val="single" w:color="2E2E7A" w:sz="1"/>
              <w:left w:val="single" w:color="2E2E7A" w:sz="1"/>
              <w:bottom w:val="single" w:color="2E2E7A" w:sz="1"/>
              <w:right w:val="single" w:color="2E2E7A" w:sz="1"/>
            </w:tcBorders>
            <w:shd w:fill="2E2E7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5000"/>
            <w:tcBorders>
              <w:top w:val="single" w:color="2E2E7A" w:sz="1"/>
              <w:left w:val="single" w:color="2E2E7A" w:sz="1"/>
              <w:bottom w:val="single" w:color="2E2E7A" w:sz="1"/>
              <w:right w:val="single" w:color="2E2E7A" w:sz="1"/>
            </w:tcBorders>
            <w:shd w:fill="2E2E7A" w:val="clear"/>
            <w:tcMar>
              <w:top w:type="dxa" w:w="80"/>
              <w:left w:type="dxa" w:w="100"/>
              <w:bottom w:type="dxa" w:w="80"/>
              <w:right w:type="dxa" w:w="100"/>
            </w:tcMar>
          </w:tcPr>
          <w:p>
            <w:r>
              <w:rPr>
                <w:rFonts w:ascii="Arial" w:cs="Arial" w:eastAsia="Arial" w:hAnsi="Arial"/>
                <w:b/>
                <w:bCs/>
                <w:color w:val="FFFFFF"/>
                <w:sz w:val="18"/>
                <w:szCs w:val="18"/>
              </w:rPr>
              <w:t xml:space="preserve">Punto / Requerimiento</w:t>
            </w:r>
          </w:p>
        </w:tc>
        <w:tc>
          <w:tcPr>
            <w:tcW w:type="dxa" w:w="1700"/>
            <w:tcBorders>
              <w:top w:val="single" w:color="2E2E7A" w:sz="1"/>
              <w:left w:val="single" w:color="2E2E7A" w:sz="1"/>
              <w:bottom w:val="single" w:color="2E2E7A" w:sz="1"/>
              <w:right w:val="single" w:color="2E2E7A" w:sz="1"/>
            </w:tcBorders>
            <w:shd w:fill="2E2E7A" w:val="clear"/>
            <w:tcMar>
              <w:top w:type="dxa" w:w="80"/>
              <w:left w:type="dxa" w:w="100"/>
              <w:bottom w:type="dxa" w:w="80"/>
              <w:right w:type="dxa" w:w="100"/>
            </w:tcMar>
          </w:tcPr>
          <w:p>
            <w:r>
              <w:rPr>
                <w:rFonts w:ascii="Arial" w:cs="Arial" w:eastAsia="Arial" w:hAnsi="Arial"/>
                <w:b/>
                <w:bCs/>
                <w:color w:val="FFFFFF"/>
                <w:sz w:val="18"/>
                <w:szCs w:val="18"/>
              </w:rPr>
              <w:t xml:space="preserve">Responsable</w:t>
            </w:r>
          </w:p>
        </w:tc>
        <w:tc>
          <w:tcPr>
            <w:tcW w:type="dxa" w:w="2320"/>
            <w:tcBorders>
              <w:top w:val="single" w:color="2E2E7A" w:sz="1"/>
              <w:left w:val="single" w:color="2E2E7A" w:sz="1"/>
              <w:bottom w:val="single" w:color="2E2E7A" w:sz="1"/>
              <w:right w:val="single" w:color="2E2E7A" w:sz="1"/>
            </w:tcBorders>
            <w:shd w:fill="2E2E7A" w:val="clear"/>
            <w:tcMar>
              <w:top w:type="dxa" w:w="80"/>
              <w:left w:type="dxa" w:w="100"/>
              <w:bottom w:type="dxa" w:w="80"/>
              <w:right w:type="dxa" w:w="100"/>
            </w:tcMar>
          </w:tcPr>
          <w:p>
            <w:r>
              <w:rPr>
                <w:rFonts w:ascii="Arial" w:cs="Arial" w:eastAsia="Arial" w:hAnsi="Arial"/>
                <w:b/>
                <w:bCs/>
                <w:color w:val="FFFFFF"/>
                <w:sz w:val="18"/>
                <w:szCs w:val="18"/>
              </w:rPr>
              <w:t xml:space="preserve">Estado / Prioridad</w:t>
            </w:r>
          </w:p>
        </w:tc>
      </w:tr>
      <w:tr>
        <w:tc>
          <w:tcPr>
            <w:tcW w:type="dxa" w:w="34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1</w:t>
            </w:r>
          </w:p>
        </w:tc>
        <w:tc>
          <w:tcPr>
            <w:tcW w:type="dxa" w:w="50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Sincronizar pestañas conductores y tractos en el cierre — el coordinador hace la gestión en conductores y se replica automáticamente en tractos. Eliminar doble trabajo.</w:t>
            </w:r>
          </w:p>
        </w:tc>
        <w:tc>
          <w:tcPr>
            <w:tcW w:type="dxa" w:w="17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7"/>
                <w:szCs w:val="17"/>
              </w:rPr>
              <w:t xml:space="preserve">Sumadots</w:t>
            </w:r>
          </w:p>
        </w:tc>
        <w:tc>
          <w:tcPr>
            <w:tcW w:type="dxa" w:w="232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b/>
                <w:bCs/>
                <w:color w:val="8B0000"/>
                <w:sz w:val="17"/>
                <w:szCs w:val="17"/>
              </w:rPr>
              <w:t xml:space="preserve">PENDIENTE</w:t>
            </w:r>
          </w:p>
        </w:tc>
      </w:tr>
      <w:tr>
        <w:tc>
          <w:tcPr>
            <w:tcW w:type="dxa" w:w="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Vista de cierre de viajes: mostrar misma información del monitor (TMS, cliente, número de viaje, origen, destino). El coordinador debe poder identificar el viaje sin salir del cierre.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Sumadots</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0000"/>
                <w:sz w:val="17"/>
                <w:szCs w:val="17"/>
              </w:rPr>
              <w:t xml:space="preserve">PENDIENTE</w:t>
            </w:r>
          </w:p>
        </w:tc>
      </w:tr>
      <w:tr>
        <w:tc>
          <w:tcPr>
            <w:tcW w:type="dxa" w:w="34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3</w:t>
            </w:r>
          </w:p>
        </w:tc>
        <w:tc>
          <w:tcPr>
            <w:tcW w:type="dxa" w:w="50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Viajes eliminados del TMS: si el TMS ya no reporta el viaje, eliminarlo automáticamente del monitor. No debe quedar como 'abandonado'.</w:t>
            </w:r>
          </w:p>
        </w:tc>
        <w:tc>
          <w:tcPr>
            <w:tcW w:type="dxa" w:w="17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7"/>
                <w:szCs w:val="17"/>
              </w:rPr>
              <w:t xml:space="preserve">Sumadots</w:t>
            </w:r>
          </w:p>
        </w:tc>
        <w:tc>
          <w:tcPr>
            <w:tcW w:type="dxa" w:w="232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b/>
                <w:bCs/>
                <w:color w:val="8B0000"/>
                <w:sz w:val="17"/>
                <w:szCs w:val="17"/>
              </w:rPr>
              <w:t xml:space="preserve">PENDIENTE</w:t>
            </w:r>
          </w:p>
        </w:tc>
      </w:tr>
      <w:tr>
        <w:tc>
          <w:tcPr>
            <w:tcW w:type="dxa" w:w="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Viajes sin cambio de estado por más de X días: mover fuera de la vista activa del diario (sin cambiar el estado en BD ni eliminarlos). Quedan disponibles en historial y en herramienta de gestión de finanzas.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Sumadots</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0000"/>
                <w:sz w:val="17"/>
                <w:szCs w:val="17"/>
              </w:rPr>
              <w:t xml:space="preserve">PENDIENTE</w:t>
            </w:r>
          </w:p>
        </w:tc>
      </w:tr>
      <w:tr>
        <w:tc>
          <w:tcPr>
            <w:tcW w:type="dxa" w:w="34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5</w:t>
            </w:r>
          </w:p>
        </w:tc>
        <w:tc>
          <w:tcPr>
            <w:tcW w:type="dxa" w:w="50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Agregar vencimiento de frecuencia mensual en la creación de documentos adicionales (F30-1, F31, etc.). Hoy se pueden crear pero no se les puede asignar recurrencia mensual.</w:t>
            </w:r>
          </w:p>
        </w:tc>
        <w:tc>
          <w:tcPr>
            <w:tcW w:type="dxa" w:w="17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7"/>
                <w:szCs w:val="17"/>
              </w:rPr>
              <w:t xml:space="preserve">Sumadots</w:t>
            </w:r>
          </w:p>
        </w:tc>
        <w:tc>
          <w:tcPr>
            <w:tcW w:type="dxa" w:w="232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b/>
                <w:bCs/>
                <w:color w:val="8B0000"/>
                <w:sz w:val="17"/>
                <w:szCs w:val="17"/>
              </w:rPr>
              <w:t xml:space="preserve">PENDIENTE</w:t>
            </w:r>
          </w:p>
        </w:tc>
      </w:tr>
      <w:tr>
        <w:tc>
          <w:tcPr>
            <w:tcW w:type="dxa" w:w="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Empresa de transporte: agregar opción de editar el cliente/generador de carga asignado post-creación. Hoy solo se puede asignar al crear la empresa.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Sumadots</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0000"/>
                <w:sz w:val="17"/>
                <w:szCs w:val="17"/>
              </w:rPr>
              <w:t xml:space="preserve">PENDIENTE</w:t>
            </w:r>
          </w:p>
        </w:tc>
      </w:tr>
      <w:tr>
        <w:tc>
          <w:tcPr>
            <w:tcW w:type="dxa" w:w="34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7</w:t>
            </w:r>
          </w:p>
        </w:tc>
        <w:tc>
          <w:tcPr>
            <w:tcW w:type="dxa" w:w="50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Vista de documentos vencidos: panel tipo 'sábana' por tipo de documento. El usuario elige el tipo de documento (F30, permiso circulación, etc.) y ve qué empresas lo tienen vencido.</w:t>
            </w:r>
          </w:p>
        </w:tc>
        <w:tc>
          <w:tcPr>
            <w:tcW w:type="dxa" w:w="17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7"/>
                <w:szCs w:val="17"/>
              </w:rPr>
              <w:t xml:space="preserve">Sumadots</w:t>
            </w:r>
          </w:p>
        </w:tc>
        <w:tc>
          <w:tcPr>
            <w:tcW w:type="dxa" w:w="232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b/>
                <w:bCs/>
                <w:color w:val="8B0000"/>
                <w:sz w:val="17"/>
                <w:szCs w:val="17"/>
              </w:rPr>
              <w:t xml:space="preserve">PENDIENTE</w:t>
            </w:r>
          </w:p>
        </w:tc>
      </w:tr>
      <w:tr>
        <w:tc>
          <w:tcPr>
            <w:tcW w:type="dxa" w:w="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Reporte de cierre: separar en submódulo 'Cierre' (acción) y submódulo 'Reporte' (visualización y export). El reporte refleja automáticamente lo que se hizo en el cierre.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Sumadots</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0000"/>
                <w:sz w:val="17"/>
                <w:szCs w:val="17"/>
              </w:rPr>
              <w:t xml:space="preserve">PENDIENTE</w:t>
            </w:r>
          </w:p>
        </w:tc>
      </w:tr>
      <w:tr>
        <w:tc>
          <w:tcPr>
            <w:tcW w:type="dxa" w:w="34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9</w:t>
            </w:r>
          </w:p>
        </w:tc>
        <w:tc>
          <w:tcPr>
            <w:tcW w:type="dxa" w:w="50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Documentos opcionales por empresa/cliente: ya está configurado como opcional. Fabián y Enrique deben revisar cómo usarlo.</w:t>
            </w:r>
          </w:p>
        </w:tc>
        <w:tc>
          <w:tcPr>
            <w:tcW w:type="dxa" w:w="17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7"/>
                <w:szCs w:val="17"/>
              </w:rPr>
              <w:t xml:space="preserve">Sumadots / WebCarga</w:t>
            </w:r>
          </w:p>
        </w:tc>
        <w:tc>
          <w:tcPr>
            <w:tcW w:type="dxa" w:w="232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b/>
                <w:bCs/>
                <w:color w:val="7A3500"/>
                <w:sz w:val="17"/>
                <w:szCs w:val="17"/>
              </w:rPr>
              <w:t xml:space="preserve">EN PROGRESO</w:t>
            </w:r>
          </w:p>
        </w:tc>
      </w:tr>
    </w:tbl>
    <w:p>
      <w:pPr>
        <w:spacing w:after="0" w:before="200"/>
      </w:pPr>
    </w:p>
    <w:p>
      <w:pPr>
        <w:spacing w:after="100" w:before="220"/>
      </w:pPr>
      <w:r>
        <w:rPr>
          <w:rFonts w:ascii="Arial" w:cs="Arial" w:eastAsia="Arial" w:hAnsi="Arial"/>
          <w:b/>
          <w:bCs/>
          <w:color w:val="4A4A9C"/>
          <w:sz w:val="24"/>
          <w:szCs w:val="24"/>
        </w:rPr>
        <w:t xml:space="preserve">B. Tareas WebCarga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5000"/>
        <w:gridCol w:w="1700"/>
        <w:gridCol w:w="2320"/>
      </w:tblGrid>
      <w:tr>
        <w:tc>
          <w:tcPr>
            <w:tcW w:type="dxa" w:w="340"/>
            <w:tcBorders>
              <w:top w:val="single" w:color="2E2E7A" w:sz="1"/>
              <w:left w:val="single" w:color="2E2E7A" w:sz="1"/>
              <w:bottom w:val="single" w:color="2E2E7A" w:sz="1"/>
              <w:right w:val="single" w:color="2E2E7A" w:sz="1"/>
            </w:tcBorders>
            <w:shd w:fill="2E2E7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5000"/>
            <w:tcBorders>
              <w:top w:val="single" w:color="2E2E7A" w:sz="1"/>
              <w:left w:val="single" w:color="2E2E7A" w:sz="1"/>
              <w:bottom w:val="single" w:color="2E2E7A" w:sz="1"/>
              <w:right w:val="single" w:color="2E2E7A" w:sz="1"/>
            </w:tcBorders>
            <w:shd w:fill="2E2E7A" w:val="clear"/>
            <w:tcMar>
              <w:top w:type="dxa" w:w="80"/>
              <w:left w:type="dxa" w:w="100"/>
              <w:bottom w:type="dxa" w:w="80"/>
              <w:right w:type="dxa" w:w="100"/>
            </w:tcMar>
          </w:tcPr>
          <w:p>
            <w:r>
              <w:rPr>
                <w:rFonts w:ascii="Arial" w:cs="Arial" w:eastAsia="Arial" w:hAnsi="Arial"/>
                <w:b/>
                <w:bCs/>
                <w:color w:val="FFFFFF"/>
                <w:sz w:val="18"/>
                <w:szCs w:val="18"/>
              </w:rPr>
              <w:t xml:space="preserve">Punto / Requerimiento</w:t>
            </w:r>
          </w:p>
        </w:tc>
        <w:tc>
          <w:tcPr>
            <w:tcW w:type="dxa" w:w="1700"/>
            <w:tcBorders>
              <w:top w:val="single" w:color="2E2E7A" w:sz="1"/>
              <w:left w:val="single" w:color="2E2E7A" w:sz="1"/>
              <w:bottom w:val="single" w:color="2E2E7A" w:sz="1"/>
              <w:right w:val="single" w:color="2E2E7A" w:sz="1"/>
            </w:tcBorders>
            <w:shd w:fill="2E2E7A" w:val="clear"/>
            <w:tcMar>
              <w:top w:type="dxa" w:w="80"/>
              <w:left w:type="dxa" w:w="100"/>
              <w:bottom w:type="dxa" w:w="80"/>
              <w:right w:type="dxa" w:w="100"/>
            </w:tcMar>
          </w:tcPr>
          <w:p>
            <w:r>
              <w:rPr>
                <w:rFonts w:ascii="Arial" w:cs="Arial" w:eastAsia="Arial" w:hAnsi="Arial"/>
                <w:b/>
                <w:bCs/>
                <w:color w:val="FFFFFF"/>
                <w:sz w:val="18"/>
                <w:szCs w:val="18"/>
              </w:rPr>
              <w:t xml:space="preserve">Responsable</w:t>
            </w:r>
          </w:p>
        </w:tc>
        <w:tc>
          <w:tcPr>
            <w:tcW w:type="dxa" w:w="2320"/>
            <w:tcBorders>
              <w:top w:val="single" w:color="2E2E7A" w:sz="1"/>
              <w:left w:val="single" w:color="2E2E7A" w:sz="1"/>
              <w:bottom w:val="single" w:color="2E2E7A" w:sz="1"/>
              <w:right w:val="single" w:color="2E2E7A" w:sz="1"/>
            </w:tcBorders>
            <w:shd w:fill="2E2E7A" w:val="clear"/>
            <w:tcMar>
              <w:top w:type="dxa" w:w="80"/>
              <w:left w:type="dxa" w:w="100"/>
              <w:bottom w:type="dxa" w:w="80"/>
              <w:right w:type="dxa" w:w="100"/>
            </w:tcMar>
          </w:tcPr>
          <w:p>
            <w:r>
              <w:rPr>
                <w:rFonts w:ascii="Arial" w:cs="Arial" w:eastAsia="Arial" w:hAnsi="Arial"/>
                <w:b/>
                <w:bCs/>
                <w:color w:val="FFFFFF"/>
                <w:sz w:val="18"/>
                <w:szCs w:val="18"/>
              </w:rPr>
              <w:t xml:space="preserve">Estado / Prioridad</w:t>
            </w:r>
          </w:p>
        </w:tc>
      </w:tr>
      <w:tr>
        <w:tc>
          <w:tcPr>
            <w:tcW w:type="dxa" w:w="34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1</w:t>
            </w:r>
          </w:p>
        </w:tc>
        <w:tc>
          <w:tcPr>
            <w:tcW w:type="dxa" w:w="50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Definir umbral de días para que un viaje 'pegado' sin cambio de estado salga de la vista activa del diario. Propuesta de Felipe: desde la última fecha de entrega del destino + X días.</w:t>
            </w:r>
          </w:p>
        </w:tc>
        <w:tc>
          <w:tcPr>
            <w:tcW w:type="dxa" w:w="17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7"/>
                <w:szCs w:val="17"/>
              </w:rPr>
              <w:t xml:space="preserve">WebCarga (Pablo)</w:t>
            </w:r>
          </w:p>
        </w:tc>
        <w:tc>
          <w:tcPr>
            <w:tcW w:type="dxa" w:w="232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b/>
                <w:bCs/>
                <w:color w:val="8B0000"/>
                <w:sz w:val="17"/>
                <w:szCs w:val="17"/>
              </w:rPr>
              <w:t xml:space="preserve">PENDIENTE</w:t>
            </w:r>
          </w:p>
        </w:tc>
      </w:tr>
      <w:tr>
        <w:tc>
          <w:tcPr>
            <w:tcW w:type="dxa" w:w="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Dar de baja empresa Fortaleza desde el directorio — no está operando con WebCarga, sigue apareciendo en el cierre.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WebCarga (Fabián)</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0000"/>
                <w:sz w:val="17"/>
                <w:szCs w:val="17"/>
              </w:rPr>
              <w:t xml:space="preserve">PENDIENTE</w:t>
            </w:r>
          </w:p>
        </w:tc>
      </w:tr>
      <w:tr>
        <w:tc>
          <w:tcPr>
            <w:tcW w:type="dxa" w:w="34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3</w:t>
            </w:r>
          </w:p>
        </w:tc>
        <w:tc>
          <w:tcPr>
            <w:tcW w:type="dxa" w:w="50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Mandar mail a QAnalytics para retirar patente GPR Z30 (Transporte Bugarín) de los reportes WebCarga.</w:t>
            </w:r>
          </w:p>
        </w:tc>
        <w:tc>
          <w:tcPr>
            <w:tcW w:type="dxa" w:w="17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7"/>
                <w:szCs w:val="17"/>
              </w:rPr>
              <w:t xml:space="preserve">WebCarga (Fabián)</w:t>
            </w:r>
          </w:p>
        </w:tc>
        <w:tc>
          <w:tcPr>
            <w:tcW w:type="dxa" w:w="232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b/>
                <w:bCs/>
                <w:color w:val="8B0000"/>
                <w:sz w:val="17"/>
                <w:szCs w:val="17"/>
              </w:rPr>
              <w:t xml:space="preserve">PENDIENTE</w:t>
            </w:r>
          </w:p>
        </w:tc>
      </w:tr>
      <w:tr>
        <w:tc>
          <w:tcPr>
            <w:tcW w:type="dxa" w:w="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Revisar y configurar documentos opcionales por empresa — Felipe confirmó que ya está implementado. Fabián y Enrique verifican cómo usarlo.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WebCarga (Fabián / Enrique)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8B0000"/>
                <w:sz w:val="17"/>
                <w:szCs w:val="17"/>
              </w:rPr>
              <w:t xml:space="preserve">PENDIENTE</w:t>
            </w:r>
          </w:p>
        </w:tc>
      </w:tr>
      <w:tr>
        <w:tc>
          <w:tcPr>
            <w:tcW w:type="dxa" w:w="34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5</w:t>
            </w:r>
          </w:p>
        </w:tc>
        <w:tc>
          <w:tcPr>
            <w:tcW w:type="dxa" w:w="50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8"/>
                <w:szCs w:val="18"/>
              </w:rPr>
              <w:t xml:space="preserve">Seguros: verificar si el archivo de póliza cargado en certificaciones se refleja en el módulo de seguros o hay que cargarlo dos veces. Enrique coordina con Karen.</w:t>
            </w:r>
          </w:p>
        </w:tc>
        <w:tc>
          <w:tcPr>
            <w:tcW w:type="dxa" w:w="170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sz w:val="17"/>
                <w:szCs w:val="17"/>
              </w:rPr>
              <w:t xml:space="preserve">WebCarga (Enrique)</w:t>
            </w:r>
          </w:p>
        </w:tc>
        <w:tc>
          <w:tcPr>
            <w:tcW w:type="dxa" w:w="2320"/>
            <w:tcBorders>
              <w:top w:val="single" w:color="CCCCCC" w:sz="1"/>
              <w:left w:val="single" w:color="CCCCCC" w:sz="1"/>
              <w:bottom w:val="single" w:color="CCCCCC" w:sz="1"/>
              <w:right w:val="single" w:color="CCCCCC" w:sz="1"/>
            </w:tcBorders>
            <w:shd w:fill="F5F5FF" w:val="clear"/>
            <w:tcMar>
              <w:top w:type="dxa" w:w="60"/>
              <w:left w:type="dxa" w:w="100"/>
              <w:bottom w:type="dxa" w:w="60"/>
              <w:right w:type="dxa" w:w="100"/>
            </w:tcMar>
          </w:tcPr>
          <w:p>
            <w:r>
              <w:rPr>
                <w:rFonts w:ascii="Arial" w:cs="Arial" w:eastAsia="Arial" w:hAnsi="Arial"/>
                <w:b/>
                <w:bCs/>
                <w:color w:val="8B0000"/>
                <w:sz w:val="17"/>
                <w:szCs w:val="17"/>
              </w:rPr>
              <w:t xml:space="preserve">PENDIENTE</w:t>
            </w:r>
          </w:p>
        </w:tc>
      </w:tr>
      <w:tr>
        <w:tc>
          <w:tcPr>
            <w:tcW w:type="dxa" w:w="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Pronexo — requerimientos documentales: F30 hasta día 5, F30-1 hasta día 18 del mes. Enrique coordina con Vicente los documentos de contratistas.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WebCarga (Enrique)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7A3500"/>
                <w:sz w:val="17"/>
                <w:szCs w:val="17"/>
              </w:rPr>
              <w:t xml:space="preserve">EN PROGRESO</w:t>
            </w:r>
          </w:p>
        </w:tc>
      </w:tr>
    </w:tbl>
    <w:p>
      <w:pPr>
        <w:spacing w:after="0" w:before="200"/>
      </w:pPr>
    </w:p>
    <w:p>
      <w:pPr>
        <w:pBdr>
          <w:bottom w:val="single" w:color="DDDDDD" w:sz="6" w:space="1"/>
        </w:pBdr>
        <w:spacing w:after="160" w:before="160"/>
      </w:pPr>
    </w:p>
    <w:p>
      <w:pPr>
        <w:pBdr>
          <w:bottom w:val="single" w:color="CCCCCC" w:sz="6" w:space="1"/>
        </w:pBdr>
        <w:spacing w:after="120" w:before="300"/>
      </w:pPr>
      <w:r>
        <w:rPr>
          <w:rFonts w:ascii="Arial" w:cs="Arial" w:eastAsia="Arial" w:hAnsi="Arial"/>
          <w:b/>
          <w:bCs/>
          <w:color w:val="2E2E7A"/>
          <w:sz w:val="28"/>
          <w:szCs w:val="28"/>
        </w:rPr>
        <w:t xml:space="preserve">5. Plan — marcha blanca y Go Live 15 de octubre</w:t>
      </w:r>
    </w:p>
    <w:p>
      <w:pPr>
        <w:spacing w:after="0" w:before="60"/>
      </w:pPr>
    </w:p>
    <w:p>
      <w:pPr>
        <w:spacing w:after="60" w:before="60"/>
      </w:pPr>
      <w:r>
        <w:rPr>
          <w:rFonts w:ascii="Arial" w:cs="Arial" w:eastAsia="Arial" w:hAnsi="Arial"/>
          <w:b/>
          <w:bCs/>
          <w:sz w:val="22"/>
          <w:szCs w:val="22"/>
        </w:rPr>
        <w:t xml:space="preserve">Acuerdo alcanzado en la reunión del 2 de octubre:</w:t>
      </w:r>
    </w:p>
    <w:p>
      <w:pPr>
        <w:spacing w:after="0" w:before="60"/>
      </w:pPr>
    </w:p>
    <w:p>
      <w:pPr>
        <w:pStyle w:val="ListParagraph"/>
        <w:numPr>
          <w:ilvl w:val="0"/>
          <w:numId w:val="2"/>
        </w:numPr>
        <w:spacing w:after="60" w:before="60"/>
      </w:pPr>
      <w:r>
        <w:rPr>
          <w:rFonts w:ascii="Arial" w:cs="Arial" w:eastAsia="Arial" w:hAnsi="Arial"/>
          <w:b w:val="false"/>
          <w:bCs w:val="false"/>
          <w:sz w:val="22"/>
          <w:szCs w:val="22"/>
        </w:rPr>
        <w:t xml:space="preserve">Esta semana (3-7 oct): Felipe entrega los ajustes comprometidos. Fabián y el equipo de operaciones empiezan a usar el sistema en paralelo con el Excel.</w:t>
      </w:r>
    </w:p>
    <w:p>
      <w:pPr>
        <w:pStyle w:val="ListParagraph"/>
        <w:numPr>
          <w:ilvl w:val="0"/>
          <w:numId w:val="2"/>
        </w:numPr>
        <w:spacing w:after="60" w:before="60"/>
      </w:pPr>
      <w:r>
        <w:rPr>
          <w:rFonts w:ascii="Arial" w:cs="Arial" w:eastAsia="Arial" w:hAnsi="Arial"/>
          <w:b w:val="false"/>
          <w:bCs w:val="false"/>
          <w:sz w:val="22"/>
          <w:szCs w:val="22"/>
        </w:rPr>
        <w:t xml:space="preserve">Semana del 6-10 oct: equipo de operaciones (Carmen, Cristian, María Eugenia) trabaja con ambas herramientas. Feedback: pantallazos + comentario corto en Word → Fabián consolida → envía a Felipe.</w:t>
      </w:r>
    </w:p>
    <w:p>
      <w:pPr>
        <w:pStyle w:val="ListParagraph"/>
        <w:numPr>
          <w:ilvl w:val="0"/>
          <w:numId w:val="2"/>
        </w:numPr>
        <w:spacing w:after="60" w:before="60"/>
      </w:pPr>
      <w:r>
        <w:rPr>
          <w:rFonts w:ascii="Arial" w:cs="Arial" w:eastAsia="Arial" w:hAnsi="Arial"/>
          <w:b w:val="false"/>
          <w:bCs w:val="false"/>
          <w:sz w:val="22"/>
          <w:szCs w:val="22"/>
        </w:rPr>
        <w:t xml:space="preserve">15 de octubre (Go Live): el sistema pasa a ser la herramienta principal. El Excel queda como respaldo hasta que todos los flujos estén validados.</w:t>
      </w:r>
    </w:p>
    <w:p>
      <w:pPr>
        <w:pStyle w:val="ListParagraph"/>
        <w:numPr>
          <w:ilvl w:val="0"/>
          <w:numId w:val="2"/>
        </w:numPr>
        <w:spacing w:after="60" w:before="60"/>
      </w:pPr>
      <w:r>
        <w:rPr>
          <w:rFonts w:ascii="Arial" w:cs="Arial" w:eastAsia="Arial" w:hAnsi="Arial"/>
          <w:b w:val="false"/>
          <w:bCs w:val="false"/>
          <w:sz w:val="22"/>
          <w:szCs w:val="22"/>
        </w:rPr>
        <w:t xml:space="preserve">Reunión bilateral Pablo-Felipe: martes o miércoles próximo (después de las 5 PM) para revisar avance de los ajustes y coordinar lo que viene.</w:t>
      </w:r>
    </w:p>
    <w:p>
      <w:pPr>
        <w:pStyle w:val="ListParagraph"/>
        <w:numPr>
          <w:ilvl w:val="0"/>
          <w:numId w:val="2"/>
        </w:numPr>
        <w:spacing w:after="60" w:before="60"/>
      </w:pPr>
      <w:r>
        <w:rPr>
          <w:rFonts w:ascii="Arial" w:cs="Arial" w:eastAsia="Arial" w:hAnsi="Arial"/>
          <w:b w:val="false"/>
          <w:bCs w:val="false"/>
          <w:sz w:val="22"/>
          <w:szCs w:val="22"/>
        </w:rPr>
        <w:t xml:space="preserve">Reuniones de seguimiento: se mantiene el esquema de viernes con el equipo completo.</w:t>
      </w:r>
    </w:p>
    <w:p>
      <w:pPr>
        <w:spacing w:after="0" w:before="60"/>
      </w:pPr>
    </w:p>
    <w:p>
      <w:pPr>
        <w:spacing w:after="60" w:before="60"/>
      </w:pPr>
      <w:r>
        <w:rPr>
          <w:rFonts w:ascii="Arial" w:cs="Arial" w:eastAsia="Arial" w:hAnsi="Arial"/>
          <w:sz w:val="22"/>
          <w:szCs w:val="22"/>
        </w:rPr>
        <w:t xml:space="preserve">Nota: el reporte de cierre en su versión completa (export automatizado, submódulos separados) se trabaja durante la marcha blanca con base en el uso real del equipo. No bloquea el Go Live.</w:t>
      </w:r>
    </w:p>
    <w:p>
      <w:pPr>
        <w:spacing w:after="0" w:before="200"/>
      </w:pPr>
    </w:p>
    <w:p>
      <w:pPr>
        <w:pBdr>
          <w:bottom w:val="single" w:color="DDDDDD" w:sz="6" w:space="1"/>
        </w:pBdr>
        <w:spacing w:after="160" w:before="160"/>
      </w:pPr>
    </w:p>
    <w:p>
      <w:pPr>
        <w:spacing w:after="40" w:before="120"/>
        <w:jc w:val="right"/>
      </w:pPr>
      <w:r>
        <w:rPr>
          <w:rFonts w:ascii="Arial" w:cs="Arial" w:eastAsia="Arial" w:hAnsi="Arial"/>
          <w:color w:val="888888"/>
          <w:sz w:val="18"/>
          <w:szCs w:val="18"/>
        </w:rPr>
        <w:t xml:space="preserve">Minuta preparada por Pablo Abumohor — 2 de octubre de 2026</w:t>
      </w:r>
    </w:p>
    <w:sectPr>
      <w:footerReference w:type="default" r:id="rId6"/>
      <w:pgSz w:w="12240" w:h="15840" w:orient="portrait"/>
      <w:pgMar w:top="1260" w:right="1260" w:bottom="126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Minuta Revisión Diario 2.0 — 1 y 2 de octubre de 2026  |  WebCarga SpA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2026-10-02T17:40:29.363Z</dcterms:created>
  <dcterms:modified xsi:type="dcterms:W3CDTF">2026-10-02T17:40:29.372Z</dcterms:modified>
</cp:coreProperties>
</file>

<file path=docProps/custom.xml><?xml version="1.0" encoding="utf-8"?>
<Properties xmlns="http://schemas.openxmlformats.org/officeDocument/2006/custom-properties" xmlns:vt="http://schemas.openxmlformats.org/officeDocument/2006/docPropsVTypes"/>
</file>