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Wachau – Dürnstein</w:t>
      </w:r>
    </w:p>
    <w:p>
      <w:pPr>
        <w:spacing w:after="120"/>
      </w:pPr>
      <w:r>
        <w:rPr>
          <w:i/>
          <w:iCs/>
          <w:color w:val="8A9A5B"/>
        </w:rPr>
        <w:t xml:space="preserve">Sportowe Wspinanie pod Wiedniem · Weekendowe Gotowce</w:t>
      </w:r>
    </w:p>
    <w:p>
      <w:pPr>
        <w:spacing w:after="120"/>
      </w:pPr>
      <w:r>
        <w:rPr>
          <w:sz w:val="18"/>
          <w:szCs w:val="18"/>
        </w:rPr>
        <w:t xml:space="preserve">38 sektorów. Tabele wygenerowane z pliku Wachau.gpx (2026-07-19). Wysokości z modelu terenu – orientacyjne.</w:t>
      </w:r>
    </w:p>
    <w:p>
      <w:pPr>
        <w:pStyle w:val="Heading2"/>
        <w:spacing w:after="140" w:before="280"/>
      </w:pPr>
      <w:r>
        <w:t xml:space="preserve">W skrócie</w:t>
      </w:r>
    </w:p>
    <w:p>
      <w:pPr>
        <w:pStyle w:val="ListParagraph"/>
        <w:numPr>
          <w:ilvl w:val="0"/>
          <w:numId w:val="2"/>
        </w:numPr>
      </w:pPr>
      <w:r>
        <w:t xml:space="preserve">Liczba sektorów: 38, w 3 grupach</w:t>
      </w:r>
    </w:p>
    <w:p>
      <w:pPr>
        <w:pStyle w:val="ListParagraph"/>
        <w:numPr>
          <w:ilvl w:val="0"/>
          <w:numId w:val="2"/>
        </w:numPr>
      </w:pPr>
      <w:r>
        <w:t xml:space="preserve">Wysokość: 268–456 m n.p.m.</w:t>
      </w:r>
    </w:p>
    <w:p>
      <w:pPr>
        <w:pStyle w:val="ListParagraph"/>
        <w:numPr>
          <w:ilvl w:val="0"/>
          <w:numId w:val="2"/>
        </w:numPr>
      </w:pPr>
      <w:r>
        <w:t xml:space="preserve">Obejście wszystkich sektorów: ok. 71.2 min marszu, +290 m podejścia</w:t>
      </w:r>
    </w:p>
    <w:p>
      <w:pPr>
        <w:pStyle w:val="ListParagraph"/>
        <w:numPr>
          <w:ilvl w:val="0"/>
          <w:numId w:val="2"/>
        </w:numPr>
      </w:pPr>
      <w:r>
        <w:t xml:space="preserve">Kolumna „Słońce” dotyczy daty 2026-03-20 (czas lokalny)</w:t>
      </w:r>
    </w:p>
    <w:p>
      <w:pPr>
        <w:spacing w:after="100"/>
      </w:pPr>
      <w:r>
        <w:rPr>
          <w:i/>
          <w:iCs/>
          <w:color w:val="B85C38"/>
        </w:rPr>
        <w:t xml:space="preserve">[ DO UZUPEŁNIENIA ] Skała, zakres wycen, liczba i długość dróg, stan obitości, sezon, zakazy okresowe.</w:t>
      </w:r>
    </w:p>
    <w:p>
      <w:pPr>
        <w:pStyle w:val="Heading2"/>
        <w:spacing w:after="140" w:before="280"/>
      </w:pPr>
      <w:r>
        <w:t xml:space="preserve">Ekspozycja i słońce – jak czytać tabele</w:t>
      </w:r>
    </w:p>
    <w:p>
      <w:pPr>
        <w:spacing w:after="120"/>
      </w:pPr>
      <w:r>
        <w:t xml:space="preserve">Kolumna „Eksp.” podaje kierunek, w którym opada teren pod sektorem, a kolumna „Słońce” – przedział, w którym słońce pada na tę ekspozycję. Gwiazdka (*) oznacza przerwę w nasłonecznieniu w ciągu dnia. Pełne zestawienie dla czterech dat w roku znajduje się w załączniku.</w:t>
      </w:r>
    </w:p>
    <w:p>
      <w:pPr>
        <w:spacing w:after="120"/>
      </w:pPr>
      <w:r>
        <w:rPr>
          <w:i/>
          <w:iCs/>
          <w:color w:val="B85C38"/>
        </w:rPr>
        <w:t xml:space="preserve">Uwaga: ekspozycja została oszacowana z geometrii punktów GPX, bez numerycznego modelu terenu. Wartości należy traktować jako wskazówkę, nie pomiar – i zweryfikować w terenie.</w:t>
      </w:r>
    </w:p>
    <w:p>
      <w:pPr>
        <w:pStyle w:val="Heading2"/>
        <w:spacing w:after="140" w:before="280"/>
      </w:pPr>
      <w:r>
        <w:t xml:space="preserve">Dojazd</w:t>
      </w:r>
    </w:p>
    <w:p>
      <w:pPr>
        <w:spacing w:after="100"/>
      </w:pPr>
      <w:r>
        <w:rPr>
          <w:i/>
          <w:iCs/>
          <w:color w:val="B85C38"/>
        </w:rPr>
        <w:t xml:space="preserve">[ DO UZUPEŁNIENIA ] Dojazd samochodem i koleją, parking, punkt startu i czas podejścia do każdej grupy.</w:t>
      </w:r>
    </w:p>
    <w:p>
      <w:pPr>
        <w:pStyle w:val="Heading2"/>
        <w:spacing w:after="140" w:before="280"/>
      </w:pPr>
      <w:r>
        <w:t xml:space="preserve">Podział rejonu</w:t>
      </w:r>
    </w:p>
    <w:p>
      <w:pPr>
        <w:spacing w:after="120"/>
      </w:pPr>
      <w:r>
        <w:t xml:space="preserve">Podział na 3 grupy wynika z analizy przestrzennej punktów GPX. </w:t>
      </w:r>
    </w:p>
    <w:p>
      <w:pPr>
        <w:pStyle w:val="Heading3"/>
        <w:spacing w:after="140" w:before="280"/>
      </w:pPr>
      <w:r>
        <w:t xml:space="preserve">1. Masyw główny Dürnstein – Wieże</w:t>
      </w:r>
    </w:p>
    <w:p>
      <w:pPr>
        <w:spacing w:after="120"/>
      </w:pPr>
      <w:r>
        <w:t xml:space="preserve">Serce rejonu: 27 wież i ścianek w polu ok. 230 × 360 m. Odległości między sektorami rzędu 20–30 m – cały dzień bez zmiany bazy.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Słońce 2026-03-20: od 6.2 do 10.8 h. Najdłużej Mittlerer Sägezahn (06:10–16:50), najkrócej Turm der Mächtigen (12:00–18:00).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Słońce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Hahnenkamm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399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10:50–18:00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48.39943 / 15.52423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Dreifingerspitze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396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48.39961 / 15.52423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Gotifels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393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48.39987 / 15.52406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Turm der Schmächtigen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48.39988 / 15.52348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Hörnliturm und Plattenwandl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09:00–18:00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48.39832 / 15.52524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Ruachlafelsen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362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48.39883 / 15.52401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WZ-Kind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48.39871 / 15.52408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Plattenspitz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347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48.39843 / 15.52300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Rawazzerfels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Płd-Zach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09:30–18:00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48.39806 / 15.52502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Steinbruch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344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09:10–18:00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48.39868 / 15.52444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Donauturm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48.39854 / 15.52323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Geisterschiff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09:00–18:00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48.39818 / 15.52564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Dickkopf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338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48.39839 / 15.52368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Splitterturm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337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06:10–16:40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48.39844 / 15.52397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Turm der Mächtigen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334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48.39964 / 15.52310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Mittlerer Sägezahn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327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48.39832 / 15.52331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Pentagonfels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Płd-Zach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48.39786 / 15.52474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Reibeisen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06:10–15:00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48.39768 / 15.52252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Häuptling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06:10–15:00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48.39775 / 15.52274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Däumling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06:10–16:50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48.39812 / 15.52384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Fratzofels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48.39708 / 15.52474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Omas Kegel und Fratzofels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48.39695 / 15.52473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Vergessener 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294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48.39680 / 15.52468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Sitting Bull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290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48.39730 / 15.52425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Bettinaturm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283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48.39671 / 15.52457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Schwarzer 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48.39669 / 15.52432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Namenloser 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Zach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11:00–18:00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48.39676 / 15.52399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2. Sektory północne / od strony doliny</w:t>
      </w:r>
    </w:p>
    <w:p>
      <w:pPr>
        <w:spacing w:after="120"/>
      </w:pPr>
      <w:r>
        <w:t xml:space="preserve">Sektory po stronie doliny, rzadziej rozstawione (30–85 m). Dobra opcja na drugi dzień lub przy tłoku w masywie głównym.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Słońce 2026-03-20: od 7.3 do 12.0 h. Najdłużej Piratalwand (06:10–18:00), najkrócej Turm jenseits des Tales (06:10–13:20).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Słońce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Nasenwand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372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48.40271 / 15.51847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Civetta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367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Wsch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06:10–13:20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48.40262 / 15.52163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Turm jenseits des Tales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Wsch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06:10–13:20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48.40332 / 15.52210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Piratalwand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48.40223 / 15.51821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Upper Sector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Wsch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06:10–13:20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48.40231 / 15.52139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Lower Sector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Wsch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06:10–13:20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48.40230 / 15.52180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3. Grupa Wachauergrat (grzbiet północny)</w:t>
      </w:r>
    </w:p>
    <w:p>
      <w:pPr>
        <w:spacing w:after="120"/>
      </w:pPr>
      <w:r>
        <w:t xml:space="preserve">Najwyżej położona grupa, najdłuższe podejście. Grań i formacje grzbietowe.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Słońce 2026-03-20: od 10.8 do 12.0 h. Najdłużej Ruck-Zuck Wandl (06:10–18:00), najkrócej Wachauergrat (07:20–18:00).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Słońce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Wachauergrat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07:20–18:00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48.40695 / 15.52088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Don-Bosco-Grat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445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07:20–18:00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48.40665 / 15.52217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Don-Bosco-Grat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07:20–18:00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48.40618 / 15.52200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Donna Rossa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Płd</w:t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07:20–18:00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48.40631 / 15.52183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Ruck-Zuck 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338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48.40561 / 15.51994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Weekendowy Gotowiec</w:t>
      </w:r>
    </w:p>
    <w:p>
      <w:pPr>
        <w:spacing w:after="100"/>
      </w:pPr>
      <w:r>
        <w:rPr>
          <w:i/>
          <w:iCs/>
          <w:color w:val="B85C38"/>
        </w:rPr>
        <w:t xml:space="preserve">[ DO UZUPEŁNIENIA ] Plan na dwa dni: wybór dróg, kolejność sektorów, warianty pogodowe.</w:t>
      </w:r>
    </w:p>
    <w:p>
      <w:pPr>
        <w:spacing w:after="120"/>
      </w:pPr>
      <w:r>
        <w:rPr>
          <w:sz w:val="19"/>
          <w:szCs w:val="19"/>
        </w:rPr>
        <w:t xml:space="preserve">Wskazówka z danych: przy planowaniu dnia warto zaczynać od sektorów o najwcześniejszym nasłonecznieniu i kończyć na tych, które łapią słońce popołudniem – kolejność wynika wprost z kolumny „Słońce”.</w:t>
      </w:r>
    </w:p>
    <w:p>
      <w:pPr>
        <w:pStyle w:val="Heading2"/>
        <w:spacing w:after="140" w:before="280"/>
      </w:pPr>
      <w:r>
        <w:t xml:space="preserve">Dokumentacja 3D (Vertical Moment)</w:t>
      </w:r>
    </w:p>
    <w:p>
      <w:pPr>
        <w:spacing w:after="120"/>
      </w:pPr>
      <w:r>
        <w:t xml:space="preserve">Rejon objęty planem dokumentacji fotogrametrycznej. Modele 3D i topo ortho powstają z tego samego pliku źródłowego co niniejsze tabele.</w:t>
      </w:r>
    </w:p>
    <w:p>
      <w:pPr>
        <w:spacing w:after="100"/>
      </w:pPr>
      <w:r>
        <w:rPr>
          <w:i/>
          <w:iCs/>
          <w:color w:val="B85C38"/>
        </w:rPr>
        <w:t xml:space="preserve">[ DO UZUPEŁNIENIA ] Numer i data lotu, link do modelu 3D dla każdego sektora.</w:t>
      </w:r>
    </w:p>
    <w:p>
      <w:pPr>
        <w:pStyle w:val="Heading2"/>
        <w:spacing w:after="140" w:before="280"/>
      </w:pPr>
      <w:r>
        <w:t xml:space="preserve">Lista kontrolna przed drukiem</w:t>
      </w:r>
    </w:p>
    <w:p>
      <w:pPr>
        <w:pStyle w:val="ListParagraph"/>
        <w:numPr>
          <w:ilvl w:val="0"/>
          <w:numId w:val="2"/>
        </w:numPr>
      </w:pPr>
      <w:r>
        <w:t xml:space="preserve">Zweryfikować nazwy sektorów z lokalnym przewodnikiem</w:t>
      </w:r>
    </w:p>
    <w:p>
      <w:pPr>
        <w:pStyle w:val="ListParagraph"/>
        <w:numPr>
          <w:ilvl w:val="0"/>
          <w:numId w:val="2"/>
        </w:numPr>
      </w:pPr>
      <w:r>
        <w:t xml:space="preserve">Uzupełnić wyceny i liczbę dróg</w:t>
      </w:r>
    </w:p>
    <w:p>
      <w:pPr>
        <w:pStyle w:val="ListParagraph"/>
        <w:numPr>
          <w:ilvl w:val="0"/>
          <w:numId w:val="2"/>
        </w:numPr>
      </w:pPr>
      <w:r>
        <w:t xml:space="preserve">Zweryfikować ekspozycje w terenie (kolumna „Eksp.”)</w:t>
      </w:r>
    </w:p>
    <w:p>
      <w:pPr>
        <w:pStyle w:val="ListParagraph"/>
        <w:numPr>
          <w:ilvl w:val="0"/>
          <w:numId w:val="2"/>
        </w:numPr>
      </w:pPr>
      <w:r>
        <w:t xml:space="preserve">Sprawdzić okresowe zakazy wspinania (ochrona ptaków, obszary chronione)</w:t>
      </w:r>
    </w:p>
    <w:p>
      <w:pPr>
        <w:pStyle w:val="ListParagraph"/>
        <w:numPr>
          <w:ilvl w:val="0"/>
          <w:numId w:val="2"/>
        </w:numPr>
      </w:pPr>
      <w:r>
        <w:t xml:space="preserve">Potwierdzić status prawny dostępu i parkingu</w:t>
      </w:r>
    </w:p>
    <w:p>
      <w:pPr>
        <w:pStyle w:val="ListParagraph"/>
        <w:numPr>
          <w:ilvl w:val="0"/>
          <w:numId w:val="2"/>
        </w:numPr>
      </w:pPr>
      <w:r>
        <w:t xml:space="preserve">Zweryfikować rodzaj skały i podać źródło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B85C3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9A5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2026-07-19T22:19:33.011Z</dcterms:created>
  <dcterms:modified xsi:type="dcterms:W3CDTF">2026-07-19T22:19:33.011Z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