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80"/>
      </w:pPr>
      <w:r>
        <w:t xml:space="preserve">Bad Fischau i okolice</w:t>
      </w:r>
    </w:p>
    <w:p>
      <w:pPr>
        <w:spacing w:after="120"/>
      </w:pPr>
      <w:r>
        <w:rPr>
          <w:i/>
          <w:iCs/>
          <w:color w:val="8A9A5B"/>
        </w:rPr>
        <w:t xml:space="preserve">Sportowe Wspinanie pod Wiedniem · Weekendowe Gotowce</w:t>
      </w:r>
    </w:p>
    <w:p>
      <w:pPr>
        <w:spacing w:after="120"/>
      </w:pPr>
      <w:r>
        <w:rPr>
          <w:sz w:val="18"/>
          <w:szCs w:val="18"/>
        </w:rPr>
        <w:t xml:space="preserve">8 sektorów. Tabele wygenerowane z pliku bad_fishau.gpx (2026-07-19). Plik źródłowy nie zawiera wysokości.</w:t>
      </w:r>
    </w:p>
    <w:p>
      <w:pPr>
        <w:pStyle w:val="Heading2"/>
        <w:spacing w:after="140" w:before="280"/>
      </w:pPr>
      <w:r>
        <w:t xml:space="preserve">W skrócie</w:t>
      </w:r>
    </w:p>
    <w:p>
      <w:pPr>
        <w:pStyle w:val="ListParagraph"/>
        <w:numPr>
          <w:ilvl w:val="0"/>
          <w:numId w:val="2"/>
        </w:numPr>
      </w:pPr>
      <w:r>
        <w:t xml:space="preserve">Liczba sektorów: 8, w 4 grupach</w:t>
      </w:r>
    </w:p>
    <w:p>
      <w:pPr>
        <w:pStyle w:val="ListParagraph"/>
        <w:numPr>
          <w:ilvl w:val="0"/>
          <w:numId w:val="2"/>
        </w:numPr>
      </w:pPr>
      <w:r>
        <w:t xml:space="preserve">Rozpiętość rejonu: ok. 20.1 km – to zbiór osobnych skałek, nie jeden masyw</w:t>
      </w:r>
    </w:p>
    <w:p>
      <w:pPr>
        <w:pStyle w:val="ListParagraph"/>
        <w:numPr>
          <w:ilvl w:val="0"/>
          <w:numId w:val="2"/>
        </w:numPr>
      </w:pPr>
      <w:r>
        <w:t xml:space="preserve">Objazd wszystkich sektorów: ok. 73.3 min jazdy (odległości w linii prostej ×1,4 – nie nawigacja drogowa)</w:t>
      </w:r>
    </w:p>
    <w:p>
      <w:pPr>
        <w:pStyle w:val="ListParagraph"/>
        <w:numPr>
          <w:ilvl w:val="0"/>
          <w:numId w:val="2"/>
        </w:numPr>
      </w:pPr>
      <w:r>
        <w:t xml:space="preserve">Kolumna „Dzień” to długość dnia dla daty 2026-03-20 (czas lokalny)</w:t>
      </w:r>
    </w:p>
    <w:p>
      <w:pPr>
        <w:spacing w:after="100"/>
      </w:pPr>
      <w:r>
        <w:rPr>
          <w:i/>
          <w:iCs/>
          <w:color w:val="B85C38"/>
        </w:rPr>
        <w:t xml:space="preserve">[ DO UZUPEŁNIENIA ] Skała, zakres wycen, liczba i długość dróg, stan obitości, sezon, zakazy okresowe.</w:t>
      </w:r>
    </w:p>
    <w:p>
      <w:pPr>
        <w:pStyle w:val="Heading2"/>
        <w:spacing w:after="140" w:before="280"/>
      </w:pPr>
      <w:r>
        <w:t xml:space="preserve">Ekspozycja i słońce – jak czytać tabele</w:t>
      </w:r>
    </w:p>
    <w:p>
      <w:pPr>
        <w:spacing w:after="120"/>
      </w:pPr>
      <w:r>
        <w:t xml:space="preserve">Kolumna „Dzień” podaje wschód i zachód słońca dla podanej daty. Kolumna „Eksp.” pozostaje pusta do czasu policzenia ekspozycji z modelu terenu.</w:t>
      </w:r>
    </w:p>
    <w:p>
      <w:pPr>
        <w:spacing w:after="120"/>
      </w:pPr>
      <w:r>
        <w:rPr>
          <w:i/>
          <w:iCs/>
          <w:color w:val="B85C38"/>
        </w:rPr>
        <w:t xml:space="preserve">Uwaga: źródłowy plik GPX nie zawiera wysokości, więc ekspozycji ani nasłonecznienia ścian nie dało się policzyć. Kolumna „Słońce” podaje jedynie długość dnia (wschód–zachód) i nie uwzględnia ani kierunku ściany, ani zasłonięcia przez teren. Do uzupełnienia z modelu terenu lub pomiarem w terenie.</w:t>
      </w:r>
    </w:p>
    <w:p>
      <w:pPr>
        <w:pStyle w:val="Heading2"/>
        <w:spacing w:after="140" w:before="280"/>
      </w:pPr>
      <w:r>
        <w:t xml:space="preserve">Dojazd</w:t>
      </w:r>
    </w:p>
    <w:p>
      <w:pPr>
        <w:spacing w:after="100"/>
      </w:pPr>
      <w:r>
        <w:rPr>
          <w:i/>
          <w:iCs/>
          <w:color w:val="B85C38"/>
        </w:rPr>
        <w:t xml:space="preserve">[ DO UZUPEŁNIENIA ] Dojazd samochodem i koleją, parking, punkt startu i czas podejścia do każdej grupy.</w:t>
      </w:r>
    </w:p>
    <w:p>
      <w:pPr>
        <w:pStyle w:val="Heading2"/>
        <w:spacing w:after="140" w:before="280"/>
      </w:pPr>
      <w:r>
        <w:t xml:space="preserve">Podział rejonu</w:t>
      </w:r>
    </w:p>
    <w:p>
      <w:pPr>
        <w:spacing w:after="120"/>
      </w:pPr>
      <w:r>
        <w:t xml:space="preserve">Podział na 4 grupy wynika z analizy przestrzennej punktów GPX. </w:t>
      </w:r>
    </w:p>
    <w:p>
      <w:pPr>
        <w:pStyle w:val="Heading3"/>
        <w:spacing w:after="140" w:before="280"/>
      </w:pPr>
      <w:r>
        <w:t xml:space="preserve">1. Grupa Hohe Wand – południowy zachód</w:t>
      </w:r>
    </w:p>
    <w:p>
      <w:pPr>
        <w:spacing w:after="120"/>
      </w:pPr>
      <w:r>
        <w:t xml:space="preserve">Cztery sektory blisko siebie (Hochkogeleck, Hohe Stube, Schatzinsel, Gamswandl) – Schatzinsel i Gamswandl dzieli 355 m.</w:t>
      </w:r>
    </w:p>
    <w:p>
      <w:pPr>
        <w:spacing w:after="120"/>
      </w:pPr>
      <w:r>
        <w:rPr>
          <w:color w:val="8A9A5B"/>
          <w:sz w:val="19"/>
          <w:szCs w:val="19"/>
        </w:rPr>
        <w:t xml:space="preserve">Długość dnia 2026-03-20: 12.0–12.0 h (bez uwzględnienia ekspozycji).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40"/>
        <w:gridCol w:w="760"/>
        <w:gridCol w:w="900"/>
        <w:gridCol w:w="1250"/>
        <w:gridCol w:w="1776"/>
        <w:gridCol w:w="2100"/>
      </w:tblGrid>
      <w:tr>
        <w:trPr>
          <w:tblHeader/>
        </w:trPr>
        <w:tc>
          <w:tcPr>
            <w:tcW w:type="dxa" w:w="48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244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Sektor</w:t>
            </w:r>
          </w:p>
        </w:tc>
        <w:tc>
          <w:tcPr>
            <w:tcW w:type="dxa" w:w="76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 n.p.m.</w:t>
            </w:r>
          </w:p>
        </w:tc>
        <w:tc>
          <w:tcPr>
            <w:tcW w:type="dxa" w:w="90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Eksp.</w:t>
            </w:r>
          </w:p>
        </w:tc>
        <w:tc>
          <w:tcPr>
            <w:tcW w:type="dxa" w:w="125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Dzień</w:t>
            </w:r>
          </w:p>
        </w:tc>
        <w:tc>
          <w:tcPr>
            <w:tcW w:type="dxa" w:w="1776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Współrzędne</w:t>
            </w:r>
          </w:p>
        </w:tc>
        <w:tc>
          <w:tcPr>
            <w:tcW w:type="dxa" w:w="210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Drogi / ocena</w:t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Hochkogeleck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47.82406 / 16.04059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Schatzinsel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47.85341 / 16.03627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Gamswandl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47.85160 / 16.04018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Hohe Stube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47.84501 / 16.02464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40" w:before="280"/>
      </w:pPr>
      <w:r>
        <w:t xml:space="preserve">2. Bad Fischau i okolice</w:t>
      </w:r>
    </w:p>
    <w:p>
      <w:pPr>
        <w:spacing w:after="120"/>
      </w:pPr>
      <w:r>
        <w:t xml:space="preserve">Engelsberg i Kinderklettergarten – ok. 2,5 km od siebie. Klettergarten dla dzieci jako opcja rodzinna.</w:t>
      </w:r>
    </w:p>
    <w:p>
      <w:pPr>
        <w:spacing w:after="120"/>
      </w:pPr>
      <w:r>
        <w:rPr>
          <w:color w:val="8A9A5B"/>
          <w:sz w:val="19"/>
          <w:szCs w:val="19"/>
        </w:rPr>
        <w:t xml:space="preserve">Długość dnia 2026-03-20: 12.0–12.0 h (bez uwzględnienia ekspozycji).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40"/>
        <w:gridCol w:w="760"/>
        <w:gridCol w:w="900"/>
        <w:gridCol w:w="1250"/>
        <w:gridCol w:w="1776"/>
        <w:gridCol w:w="2100"/>
      </w:tblGrid>
      <w:tr>
        <w:trPr>
          <w:tblHeader/>
        </w:trPr>
        <w:tc>
          <w:tcPr>
            <w:tcW w:type="dxa" w:w="48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244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Sektor</w:t>
            </w:r>
          </w:p>
        </w:tc>
        <w:tc>
          <w:tcPr>
            <w:tcW w:type="dxa" w:w="76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 n.p.m.</w:t>
            </w:r>
          </w:p>
        </w:tc>
        <w:tc>
          <w:tcPr>
            <w:tcW w:type="dxa" w:w="90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Eksp.</w:t>
            </w:r>
          </w:p>
        </w:tc>
        <w:tc>
          <w:tcPr>
            <w:tcW w:type="dxa" w:w="125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Dzień</w:t>
            </w:r>
          </w:p>
        </w:tc>
        <w:tc>
          <w:tcPr>
            <w:tcW w:type="dxa" w:w="1776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Współrzędne</w:t>
            </w:r>
          </w:p>
        </w:tc>
        <w:tc>
          <w:tcPr>
            <w:tcW w:type="dxa" w:w="210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Drogi / ocena</w:t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Engelsberg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47.82770 / 16.12252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Bad Fischau Kinderklettergarten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47.83855 / 16.15188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40" w:before="280"/>
      </w:pPr>
      <w:r>
        <w:t xml:space="preserve">3. Wöllersdorf</w:t>
      </w:r>
    </w:p>
    <w:p>
      <w:pPr>
        <w:spacing w:after="120"/>
      </w:pPr>
      <w:r>
        <w:t xml:space="preserve">Pojedynczy sektor, ok. 3,8 km od Bad Fischau.</w:t>
      </w:r>
    </w:p>
    <w:p>
      <w:pPr>
        <w:spacing w:after="120"/>
      </w:pPr>
      <w:r>
        <w:rPr>
          <w:color w:val="8A9A5B"/>
          <w:sz w:val="19"/>
          <w:szCs w:val="19"/>
        </w:rPr>
        <w:t xml:space="preserve">Długość dnia 2026-03-20: 12.0–12.0 h (bez uwzględnienia ekspozycji).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40"/>
        <w:gridCol w:w="760"/>
        <w:gridCol w:w="900"/>
        <w:gridCol w:w="1250"/>
        <w:gridCol w:w="1776"/>
        <w:gridCol w:w="2100"/>
      </w:tblGrid>
      <w:tr>
        <w:trPr>
          <w:tblHeader/>
        </w:trPr>
        <w:tc>
          <w:tcPr>
            <w:tcW w:type="dxa" w:w="48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244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Sektor</w:t>
            </w:r>
          </w:p>
        </w:tc>
        <w:tc>
          <w:tcPr>
            <w:tcW w:type="dxa" w:w="76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 n.p.m.</w:t>
            </w:r>
          </w:p>
        </w:tc>
        <w:tc>
          <w:tcPr>
            <w:tcW w:type="dxa" w:w="90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Eksp.</w:t>
            </w:r>
          </w:p>
        </w:tc>
        <w:tc>
          <w:tcPr>
            <w:tcW w:type="dxa" w:w="125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Dzień</w:t>
            </w:r>
          </w:p>
        </w:tc>
        <w:tc>
          <w:tcPr>
            <w:tcW w:type="dxa" w:w="1776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Współrzędne</w:t>
            </w:r>
          </w:p>
        </w:tc>
        <w:tc>
          <w:tcPr>
            <w:tcW w:type="dxa" w:w="210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Drogi / ocena</w:t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Wöllersdorf Hart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47.87040 / 16.16864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40" w:before="280"/>
      </w:pPr>
      <w:r>
        <w:t xml:space="preserve">4. Baden</w:t>
      </w:r>
    </w:p>
    <w:p>
      <w:pPr>
        <w:spacing w:after="120"/>
      </w:pPr>
      <w:r>
        <w:t xml:space="preserve">Badener Turm – wyraźnie na uboczu, 15 km od najbliższego sektora. Osobny wyjazd.</w:t>
      </w:r>
    </w:p>
    <w:p>
      <w:pPr>
        <w:spacing w:after="120"/>
      </w:pPr>
      <w:r>
        <w:rPr>
          <w:color w:val="8A9A5B"/>
          <w:sz w:val="19"/>
          <w:szCs w:val="19"/>
        </w:rPr>
        <w:t xml:space="preserve">Długość dnia 2026-03-20: 12.0–12.0 h (bez uwzględnienia ekspozycji).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40"/>
        <w:gridCol w:w="760"/>
        <w:gridCol w:w="900"/>
        <w:gridCol w:w="1250"/>
        <w:gridCol w:w="1776"/>
        <w:gridCol w:w="2100"/>
      </w:tblGrid>
      <w:tr>
        <w:trPr>
          <w:tblHeader/>
        </w:trPr>
        <w:tc>
          <w:tcPr>
            <w:tcW w:type="dxa" w:w="48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244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Sektor</w:t>
            </w:r>
          </w:p>
        </w:tc>
        <w:tc>
          <w:tcPr>
            <w:tcW w:type="dxa" w:w="76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 n.p.m.</w:t>
            </w:r>
          </w:p>
        </w:tc>
        <w:tc>
          <w:tcPr>
            <w:tcW w:type="dxa" w:w="90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Eksp.</w:t>
            </w:r>
          </w:p>
        </w:tc>
        <w:tc>
          <w:tcPr>
            <w:tcW w:type="dxa" w:w="125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Dzień</w:t>
            </w:r>
          </w:p>
        </w:tc>
        <w:tc>
          <w:tcPr>
            <w:tcW w:type="dxa" w:w="1776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Współrzędne</w:t>
            </w:r>
          </w:p>
        </w:tc>
        <w:tc>
          <w:tcPr>
            <w:tcW w:type="dxa" w:w="2100"/>
            <w:shd w:fill="EFEAE3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Drogi / ocena</w:t>
            </w:r>
          </w:p>
        </w:tc>
      </w:tr>
      <w:tr>
        <w:tc>
          <w:tcPr>
            <w:tcW w:type="dxa" w:w="48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44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Badener Turm</w:t>
            </w:r>
          </w:p>
        </w:tc>
        <w:tc>
          <w:tcPr>
            <w:tcW w:type="dxa" w:w="76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06:10–18:00</w:t>
            </w:r>
          </w:p>
        </w:tc>
        <w:tc>
          <w:tcPr>
            <w:tcW w:type="dxa" w:w="1776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48.00449 / 16.18368</w:t>
            </w:r>
          </w:p>
        </w:tc>
        <w:tc>
          <w:tcPr>
            <w:tcW w:type="dxa" w:w="2100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after="140" w:before="280"/>
      </w:pPr>
      <w:r>
        <w:t xml:space="preserve">Weekendowy Gotowiec</w:t>
      </w:r>
    </w:p>
    <w:p>
      <w:pPr>
        <w:spacing w:after="100"/>
      </w:pPr>
      <w:r>
        <w:rPr>
          <w:i/>
          <w:iCs/>
          <w:color w:val="B85C38"/>
        </w:rPr>
        <w:t xml:space="preserve">[ DO UZUPEŁNIENIA ] Plan na dwa dni: wybór dróg, kolejność sektorów, warianty pogodowe.</w:t>
      </w:r>
    </w:p>
    <w:p>
      <w:pPr>
        <w:spacing w:after="120"/>
      </w:pPr>
      <w:r>
        <w:rPr>
          <w:sz w:val="19"/>
          <w:szCs w:val="19"/>
        </w:rPr>
        <w:t xml:space="preserve">Wskazówka z danych: przy planowaniu dnia warto zaczynać od sektorów o najwcześniejszym nasłonecznieniu i kończyć na tych, które łapią słońce popołudniem – kolejność wynika wprost z kolumny „Słońce”.</w:t>
      </w:r>
    </w:p>
    <w:p>
      <w:pPr>
        <w:pStyle w:val="Heading2"/>
        <w:spacing w:after="140" w:before="280"/>
      </w:pPr>
      <w:r>
        <w:t xml:space="preserve">Dokumentacja 3D (Vertical Moment)</w:t>
      </w:r>
    </w:p>
    <w:p>
      <w:pPr>
        <w:spacing w:after="120"/>
      </w:pPr>
      <w:r>
        <w:t xml:space="preserve">Rejon objęty planem dokumentacji fotogrametrycznej. Modele 3D i topo ortho powstają z tego samego pliku źródłowego co niniejsze tabele.</w:t>
      </w:r>
    </w:p>
    <w:p>
      <w:pPr>
        <w:spacing w:after="100"/>
      </w:pPr>
      <w:r>
        <w:rPr>
          <w:i/>
          <w:iCs/>
          <w:color w:val="B85C38"/>
        </w:rPr>
        <w:t xml:space="preserve">[ DO UZUPEŁNIENIA ] Numer i data lotu, link do modelu 3D dla każdego sektora.</w:t>
      </w:r>
    </w:p>
    <w:p>
      <w:pPr>
        <w:pStyle w:val="Heading2"/>
        <w:spacing w:after="140" w:before="280"/>
      </w:pPr>
      <w:r>
        <w:t xml:space="preserve">Lista kontrolna przed drukiem</w:t>
      </w:r>
    </w:p>
    <w:p>
      <w:pPr>
        <w:pStyle w:val="ListParagraph"/>
        <w:numPr>
          <w:ilvl w:val="0"/>
          <w:numId w:val="2"/>
        </w:numPr>
      </w:pPr>
      <w:r>
        <w:t xml:space="preserve">Zweryfikować nazwy sektorów z lokalnym przewodnikiem</w:t>
      </w:r>
    </w:p>
    <w:p>
      <w:pPr>
        <w:pStyle w:val="ListParagraph"/>
        <w:numPr>
          <w:ilvl w:val="0"/>
          <w:numId w:val="2"/>
        </w:numPr>
      </w:pPr>
      <w:r>
        <w:t xml:space="preserve">Uzupełnić wyceny i liczbę dróg</w:t>
      </w:r>
    </w:p>
    <w:p>
      <w:pPr>
        <w:pStyle w:val="ListParagraph"/>
        <w:numPr>
          <w:ilvl w:val="0"/>
          <w:numId w:val="2"/>
        </w:numPr>
      </w:pPr>
      <w:r>
        <w:t xml:space="preserve">Zweryfikować ekspozycje w terenie (kolumna „Eksp.”)</w:t>
      </w:r>
    </w:p>
    <w:p>
      <w:pPr>
        <w:pStyle w:val="ListParagraph"/>
        <w:numPr>
          <w:ilvl w:val="0"/>
          <w:numId w:val="2"/>
        </w:numPr>
      </w:pPr>
      <w:r>
        <w:t xml:space="preserve">Sprawdzić okresowe zakazy wspinania (ochrona ptaków, obszary chronione)</w:t>
      </w:r>
    </w:p>
    <w:p>
      <w:pPr>
        <w:pStyle w:val="ListParagraph"/>
        <w:numPr>
          <w:ilvl w:val="0"/>
          <w:numId w:val="2"/>
        </w:numPr>
      </w:pPr>
      <w:r>
        <w:t xml:space="preserve">Potwierdzić status prawny dostępu i parkingu</w:t>
      </w:r>
    </w:p>
    <w:p>
      <w:pPr>
        <w:pStyle w:val="ListParagraph"/>
        <w:numPr>
          <w:ilvl w:val="0"/>
          <w:numId w:val="2"/>
        </w:numPr>
      </w:pPr>
      <w:r>
        <w:t xml:space="preserve">Zweryfikować rodzaj skały i podać źródło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E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B85C38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2E2E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8A9A5B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2026-07-19T22:19:32.819Z</dcterms:created>
  <dcterms:modified xsi:type="dcterms:W3CDTF">2026-07-19T22:19:32.819Z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