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AFRICA FINTECH JOURNAL</w:t>
      </w:r>
    </w:p>
    <w:p>
      <w:pPr>
        <w:spacing w:after="120"/>
      </w:pPr>
      <w:r>
        <w:rPr>
          <w:rFonts w:ascii="Arial" w:cs="Arial" w:eastAsia="Arial" w:hAnsi="Arial"/>
          <w:b w:val="false"/>
          <w:bCs w:val="false"/>
          <w:i w:val="false"/>
          <w:iCs w:val="false"/>
          <w:color w:val="6B7280"/>
          <w:sz w:val="24"/>
          <w:szCs w:val="24"/>
        </w:rPr>
        <w:t xml:space="preserve">Independent media + research on fintech, Bitcoin, AI, startups and cyber</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AFJ is expected to own the narrative and the data of the African digital economy. It buys attention and credibility that no advertising budget could buy, and monetises them through research, events and institutional subscriptions.</w:t>
      </w:r>
    </w:p>
    <w:p>
      <w:pPr>
        <w:pStyle w:val="ListParagraph"/>
        <w:numPr>
          <w:ilvl w:val="0"/>
          <w:numId w:val="2"/>
        </w:numPr>
        <w:spacing w:after="80"/>
      </w:pPr>
      <w:r>
        <w:rPr>
          <w:rFonts w:ascii="Arial" w:cs="Arial" w:eastAsia="Arial" w:hAnsi="Arial"/>
          <w:color w:val="1F2937"/>
          <w:sz w:val="22"/>
          <w:szCs w:val="22"/>
        </w:rPr>
        <w:t xml:space="preserve">Become the reference publication of francophone African fintech.</w:t>
      </w:r>
    </w:p>
    <w:p>
      <w:pPr>
        <w:pStyle w:val="ListParagraph"/>
        <w:numPr>
          <w:ilvl w:val="0"/>
          <w:numId w:val="2"/>
        </w:numPr>
        <w:spacing w:after="80"/>
      </w:pPr>
      <w:r>
        <w:rPr>
          <w:rFonts w:ascii="Arial" w:cs="Arial" w:eastAsia="Arial" w:hAnsi="Arial"/>
          <w:color w:val="1F2937"/>
          <w:sz w:val="22"/>
          <w:szCs w:val="22"/>
        </w:rPr>
        <w:t xml:space="preserve">Build proprietary datasets (operators, volumes, regulation) nobody else has.</w:t>
      </w:r>
    </w:p>
    <w:p>
      <w:pPr>
        <w:pStyle w:val="ListParagraph"/>
        <w:numPr>
          <w:ilvl w:val="0"/>
          <w:numId w:val="2"/>
        </w:numPr>
        <w:spacing w:after="80"/>
      </w:pPr>
      <w:r>
        <w:rPr>
          <w:rFonts w:ascii="Arial" w:cs="Arial" w:eastAsia="Arial" w:hAnsi="Arial"/>
          <w:color w:val="1F2937"/>
          <w:sz w:val="22"/>
          <w:szCs w:val="22"/>
        </w:rPr>
        <w:t xml:space="preserve">Convert audience into institutional research revenue at high margin.</w:t>
      </w:r>
    </w:p>
    <w:p>
      <w:pPr>
        <w:pStyle w:val="ListParagraph"/>
        <w:numPr>
          <w:ilvl w:val="0"/>
          <w:numId w:val="2"/>
        </w:numPr>
        <w:spacing w:after="80"/>
      </w:pPr>
      <w:r>
        <w:rPr>
          <w:rFonts w:ascii="Arial" w:cs="Arial" w:eastAsia="Arial" w:hAnsi="Arial"/>
          <w:color w:val="1F2937"/>
          <w:sz w:val="22"/>
          <w:szCs w:val="22"/>
        </w:rPr>
        <w:t xml:space="preserve">1M+ professional audience and 90 M FBU revenue by 2036.</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Newsletter and report sponsors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Annual institutional subscription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Events &amp; summit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Tickets + partner packages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studies for banks, DFIs, regulators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Indices &amp; benchmarks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Licensed data products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charter, brand, first datasets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 journalists, CMS, distribution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 desk, annual summit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platform, regional bureaus</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 + email deliverability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Press registration, right-of-reply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Sustained editorial cadence without quality loss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concentration must stay &lt; 25% per client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Editor-in-chief with regional credibility</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Headless CMS + CDN, newsletter infrastructure with strong deliverability.</w:t>
      </w:r>
    </w:p>
    <w:p>
      <w:pPr>
        <w:pStyle w:val="ListParagraph"/>
        <w:numPr>
          <w:ilvl w:val="0"/>
          <w:numId w:val="2"/>
        </w:numPr>
        <w:spacing w:after="80"/>
      </w:pPr>
      <w:r>
        <w:rPr>
          <w:rFonts w:ascii="Arial" w:cs="Arial" w:eastAsia="Arial" w:hAnsi="Arial"/>
          <w:color w:val="1F2937"/>
          <w:sz w:val="22"/>
          <w:szCs w:val="22"/>
        </w:rPr>
        <w:t xml:space="preserve">Structured research database (operators, funding, regulation, volumes).</w:t>
      </w:r>
    </w:p>
    <w:p>
      <w:pPr>
        <w:pStyle w:val="ListParagraph"/>
        <w:numPr>
          <w:ilvl w:val="0"/>
          <w:numId w:val="2"/>
        </w:numPr>
        <w:spacing w:after="80"/>
      </w:pPr>
      <w:r>
        <w:rPr>
          <w:rFonts w:ascii="Arial" w:cs="Arial" w:eastAsia="Arial" w:hAnsi="Arial"/>
          <w:color w:val="1F2937"/>
          <w:sz w:val="22"/>
          <w:szCs w:val="22"/>
        </w:rPr>
        <w:t xml:space="preserve">AI editorial copilots for translation and data extraction — never for bylines.</w:t>
      </w:r>
    </w:p>
    <w:p>
      <w:pPr>
        <w:pStyle w:val="ListParagraph"/>
        <w:numPr>
          <w:ilvl w:val="0"/>
          <w:numId w:val="2"/>
        </w:numPr>
        <w:spacing w:after="80"/>
      </w:pPr>
      <w:r>
        <w:rPr>
          <w:rFonts w:ascii="Arial" w:cs="Arial" w:eastAsia="Arial" w:hAnsi="Arial"/>
          <w:color w:val="1F2937"/>
          <w:sz w:val="22"/>
          <w:szCs w:val="22"/>
        </w:rPr>
        <w:t xml:space="preserve">Paywall and entitlements settled through BitLibera.</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Subscribers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1 000 000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Paying institutions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output / month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40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 pieces</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Critical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Published editorial charter, separate commercial team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AI-generated content commoditisation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on-the-ground reporting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Shift mix toward subscriptions and research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Legal exposure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Pre-publication legal review on sensitive pieces</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Pre-launch / early readership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pipeline · Newsletter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Niche regional fintech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quality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First-mover, founder credibility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Ghost/Notion + CDN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25k subscribers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3M FBU (sponsorship + events)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Weekly newsletter · Quarterly reports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fintech publication in francophone Africa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Trusted independent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250k subscribers, 1M readers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30M FBU (research + events + sponsorship)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 · Industry awards · Annual summit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African fintech category-defining media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monetization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Owned audience + 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publishing platform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1M+ professional audience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 · Indices &amp; benchmarks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Standard reference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Disruption from AI-generated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relationships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products + AI publishing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Institutional clients (banks, DFIs, regulators)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High-margin recurring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 Fintech Index · Policy advisory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Equivalent of FT/Stratechery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capital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independence + data moat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Internal AI editorial copilots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media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2026-09-27T08:30:17.455Z</dcterms:created>
  <dcterms:modified xsi:type="dcterms:W3CDTF">2026-09-27T08:30:17.455Z</dcterms:modified>
</cp:coreProperties>
</file>

<file path=docProps/custom.xml><?xml version="1.0" encoding="utf-8"?>
<Properties xmlns="http://schemas.openxmlformats.org/officeDocument/2006/custom-properties" xmlns:vt="http://schemas.openxmlformats.org/officeDocument/2006/docPropsVTypes"/>
</file>