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E7C7B"/>
          <w:sz w:val="18"/>
          <w:szCs w:val="18"/>
        </w:rPr>
        <w:t xml:space="preserve">SIGHT AFRICA · STRATEGIC OPERATING SYSTEM</w:t>
      </w:r>
    </w:p>
    <w:p>
      <w:pPr>
        <w:spacing w:after="60"/>
      </w:pPr>
      <w:r>
        <w:rPr>
          <w:rFonts w:ascii="Georgia" w:cs="Georgia" w:eastAsia="Georgia" w:hAnsi="Georgia"/>
          <w:b/>
          <w:bCs/>
          <w:color w:val="1F2937"/>
          <w:sz w:val="56"/>
          <w:szCs w:val="56"/>
        </w:rPr>
        <w:t xml:space="preserve">SIGHT HEALTH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4"/>
          <w:szCs w:val="24"/>
        </w:rPr>
        <w:t xml:space="preserve">Health-data infrastructure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/>
          <w:iCs/>
          <w:color w:val="6B7280"/>
          <w:sz w:val="18"/>
          <w:szCs w:val="18"/>
        </w:rPr>
        <w:t xml:space="preserve">Planned incorporation: 2032 · Execution starts 1 January 2027 · All amounts in FBU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1. What we expect from this entity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937"/>
          <w:sz w:val="22"/>
          <w:szCs w:val="22"/>
        </w:rPr>
        <w:t xml:space="preserve">Highest regulatory bar; launched last, on mature ID, CLOUD and SECURITY foundations.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Created in 2032, once the ecosystem demand for health-data infrastructure is proven by group volume.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Serves group products first (internal customer), then external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Runs as a subsidiary with its own P&amp;L, managing director and board.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2. Economic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Mechanism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Primary customer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Internal services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Transfer pricing to SIGHT subsidiaries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products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External subscriptions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Recurring contracts, annual commitment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Banks, MNOs, corporates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Public-sector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Tendered multi-year contracts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Governments, regulators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Usage-based fees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Per call / per unit consumed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Developers, partners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3. Investment required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Phase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Window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Capital needed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Main use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Study &amp; design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8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Feasibility, architecture, legal structure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Incorporation &amp; MVP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40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Entity setup, core team, first platform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Commercial ramp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2033–2035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150 M FBU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Sales, certification, capacity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Consolidation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2036+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Self-funded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Reinvested cash flow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4. Feasibility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Dimension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Condition to satisfy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Technical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Conditional on group maturity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Reuse of group platform (PAY · ID · CLOUD)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Sector-specific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Licences and certifications obtained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Operational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Managing director recruited 12 months before launch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Financial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Funded by group cash flow + DFI debt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Group EBITDA positive at incorporation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Core team sourced from SIGHT ACADEMY alumni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5. Decision rule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Build only when internal demand already justifies at least 50% of the cost base.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Wait if the market is not ready or a partner can serve it better for now.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F2937"/>
          <w:sz w:val="22"/>
          <w:szCs w:val="22"/>
        </w:rPr>
        <w:t xml:space="preserve">Outsource the first version, then internalise once volume is proven.</w:t>
      </w:r>
    </w:p>
    <w:p>
      <w:pPr>
        <w:pStyle w:val="Heading2"/>
        <w:spacing w:after="160" w:before="320"/>
      </w:pPr>
      <w:r>
        <w:rPr>
          <w:rFonts w:ascii="Arial" w:cs="Arial" w:eastAsia="Arial" w:hAnsi="Arial"/>
          <w:b/>
          <w:bCs/>
          <w:color w:val="0E7C7B"/>
          <w:sz w:val="26"/>
          <w:szCs w:val="26"/>
        </w:rPr>
        <w:t xml:space="preserve">6.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Risk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Impact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E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2937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Premature launch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Gate on internal demand thresholds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Capital diversion from core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High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Hard cap on group funding per entity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Regulatory blockage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Pre-launch regulatory engagement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Talent scarcity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Medium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20"/>
                <w:szCs w:val="20"/>
              </w:rPr>
              <w:t xml:space="preserve">Academy pipeline + diaspora recruitment</w:t>
            </w:r>
          </w:p>
        </w:tc>
      </w:tr>
    </w:tbl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7280"/>
        <w:sz w:val="16"/>
        <w:szCs w:val="16"/>
      </w:rPr>
      <w:t xml:space="preserve">SIGHT AFRICA · Confidential product dossier · 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2026-09-27T08:30:18.140Z</dcterms:created>
  <dcterms:modified xsi:type="dcterms:W3CDTF">2026-09-27T08:30:18.140Z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