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0E7C7B"/>
          <w:sz w:val="18"/>
          <w:szCs w:val="18"/>
        </w:rPr>
        <w:t xml:space="preserve">SIGHT AFRICA · STRATEGIC OPERATING SYSTEM</w:t>
      </w:r>
    </w:p>
    <w:p>
      <w:pPr>
        <w:spacing w:after="60"/>
      </w:pPr>
      <w:r>
        <w:rPr>
          <w:rFonts w:ascii="Georgia" w:cs="Georgia" w:eastAsia="Georgia" w:hAnsi="Georgia"/>
          <w:b/>
          <w:bCs/>
          <w:color w:val="1F2937"/>
          <w:sz w:val="56"/>
          <w:szCs w:val="56"/>
        </w:rPr>
        <w:t xml:space="preserve">SIGHT MEDIA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4"/>
          <w:szCs w:val="24"/>
        </w:rPr>
        <w:t xml:space="preserve">Media holding (AFJ + adjacencies)</w:t>
      </w:r>
    </w:p>
    <w:p>
      <w:pPr>
        <w:spacing w:after="240"/>
      </w:pPr>
      <w:r>
        <w:rPr>
          <w:rFonts w:ascii="Arial" w:cs="Arial" w:eastAsia="Arial" w:hAnsi="Arial"/>
          <w:b w:val="false"/>
          <w:bCs w:val="false"/>
          <w:i/>
          <w:iCs/>
          <w:color w:val="6B7280"/>
          <w:sz w:val="18"/>
          <w:szCs w:val="18"/>
        </w:rPr>
        <w:t xml:space="preserve">Planned incorporation: 2031 · Execution starts 1 January 2027 · All amounts in FBU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E7C7B"/>
          <w:sz w:val="26"/>
          <w:szCs w:val="26"/>
        </w:rPr>
        <w:t xml:space="preserve">1. What we expect from this entity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Distribution + influence + research products.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Created in 2031, once the ecosystem demand for media holding (afj + adjacencies) is proven by group volume.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Serves group products first (internal customer), then external clients.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Runs as a subsidiary with its own P&amp;L, managing director and board.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E7C7B"/>
          <w:sz w:val="26"/>
          <w:szCs w:val="26"/>
        </w:rPr>
        <w:t xml:space="preserve">2. Economic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Revenue line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Mechanism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Primary customer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Internal services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Transfer pricing to SIGHT subsidiaries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Group products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External subscriptions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Recurring contracts, annual commitment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Banks, MNOs, corporates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Public-sector contracts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Tendered multi-year contracts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Governments, regulators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Usage-based fees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Per call / per unit consumed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Developers, partners</w:t>
            </w:r>
          </w:p>
        </w:tc>
      </w:tr>
    </w:tbl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E7C7B"/>
          <w:sz w:val="26"/>
          <w:szCs w:val="26"/>
        </w:rPr>
        <w:t xml:space="preserve">3. Investment required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Phase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Window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Capital needed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Main use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Study &amp; design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2030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60 M FBU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Feasibility, architecture, legal structure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Incorporation &amp; MVP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2031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450 M FBU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Entity setup, core team, first platform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Commercial ramp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2032–2034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 Mds FBU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Sales, certification, capacity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Consolidation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2035+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Self-funded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Reinvested cash flow</w:t>
            </w:r>
          </w:p>
        </w:tc>
      </w:tr>
    </w:tbl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E7C7B"/>
          <w:sz w:val="26"/>
          <w:szCs w:val="26"/>
        </w:rPr>
        <w:t xml:space="preserve">4. Feasibility assessment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Dimension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Assessment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Condition to satisfy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Technical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Conditional on group maturity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Reuse of group platform (PAY · ID · CLOUD)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Regulatory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Sector-specific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Licences and certifications obtained before launch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Operational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Medium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Managing director recruited 12 months before launch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Financial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Funded by group cash flow + DFI debt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Group EBITDA positive at incorporation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Talent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Medium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Core team sourced from SIGHT ACADEMY alumni</w:t>
            </w:r>
          </w:p>
        </w:tc>
      </w:tr>
    </w:tbl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E7C7B"/>
          <w:sz w:val="26"/>
          <w:szCs w:val="26"/>
        </w:rPr>
        <w:t xml:space="preserve">5. Decision rule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Build only when internal demand already justifies at least 50% of the cost base.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Wait if the market is not ready or a partner can serve it better for now.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Outsource the first version, then internalise once volume is proven.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E7C7B"/>
          <w:sz w:val="26"/>
          <w:szCs w:val="26"/>
        </w:rPr>
        <w:t xml:space="preserve">6.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Risk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Impact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Premature launch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High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Gate on internal demand thresholds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Capital diversion from core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High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Hard cap on group funding per entity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Regulatory blockage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Medium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Pre-launch regulatory engagement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Talent scarcity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Medium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Academy pipeline + diaspora recruitment</w:t>
            </w:r>
          </w:p>
        </w:tc>
      </w:tr>
    </w:tbl>
    <w:sectPr>
      <w:footerReference w:type="default" r:id="rId7"/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rFonts w:ascii="Arial" w:cs="Arial" w:eastAsia="Arial" w:hAnsi="Arial"/>
        <w:color w:val="6B7280"/>
        <w:sz w:val="16"/>
        <w:szCs w:val="16"/>
      </w:rPr>
      <w:t xml:space="preserve">SIGHT AFRICA · Confidential product dossier · 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2026-08-10T07:31:39.663Z</dcterms:created>
  <dcterms:modified xsi:type="dcterms:W3CDTF">2026-08-10T07:31:39.663Z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