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Priorities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What must be done, in which order, and by when.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8"/>
          <w:szCs w:val="28"/>
        </w:rPr>
        <w:t xml:space="preserve">0. Preparation year 2026 — before the agenda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Legal structuring of the group and the first subsidiaries.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Group identity, brand system and single sign-on design.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Capital: bootstrap discipline plus first angel commitments.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First senior hires and product readiness reviews.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8"/>
          <w:szCs w:val="28"/>
        </w:rPr>
        <w:t xml:space="preserve">1. Yearly priorities (2027 → 2036)</w:t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2027 — Foundation &amp; Brand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Stabilize BitLibera as a profitable BTC + mobile-money corridor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Africa Fintech Journal as a recognized regional publication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→ 35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BitLibera 2.0 (merchant pilot) · LEARN BTC certificate program v1 · AFJ weekly editorial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2028 — Validation &amp; Repeatability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ID pilot for KYC across group 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 → 80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 · SIGHT ID alpha · AFJ research reports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2029 — Growth — Regional Footprint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First sovereign cloud zone (SIGHT CLOUD Lake Tanganyika)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 → 220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PAY v1 · SIGHT ACADEMY cohort 1 · SIGHT CLOUD region 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2030 — Platformization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CAPITAL fund I (60M FBU)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Begin SIGHT LABS R&amp;D center on applied AI and cryptography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140M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220 → 480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 portal · SIGHT CAPITAL fund I · SIGHT LABS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2031 — National Milestone Consolidation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SECURITY as standalone subsidiary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240M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480 → 900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SECURITY SOC · Government services integration · AFJ data &amp; research division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2032 — Regional Expansion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Series B equivalent: 250M FBU growth 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380M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900 → 1,500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DATA · Multi-currency PAY corridors · Regional merchant network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2033 — Infrastructure Leadership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Establish governance &amp; board for IPO-ready maturity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550M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1,500 → 2,400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MARKET · Sovereign cloud certification · Independent board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2034 — AI &amp; Compute Sovereignty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Cross-listing readiness (NSE / regional exchanges)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750M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2,400 → 3,400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COMPUTE (GPU cloud) · Yepo Enterprise · Regulatory readiness pack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2035 — Institutional Scale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SIGHT CAPITAL fund II (200M FBU)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Mature M&amp;A engine for adjacent assets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 Md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3,400 → 4,200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 II · First two acquisitions (paytech, edtech) · Group ERP &amp; financial backbone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4"/>
          <w:szCs w:val="24"/>
        </w:rPr>
        <w:t xml:space="preserve">2036 — Foundational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9 countries, 1,3 Md FBU ARR, recognized critical infrastructure operator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Established African-owned alternative across PAY · ID · CLOUD · DATA ·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Key releases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1,3 Md FBU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4,200 → 4,800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IPO / strategic listing · 20-year national infrastructure compact (BI) · Pan-African API standard contributions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8"/>
          <w:szCs w:val="28"/>
        </w:rPr>
        <w:t xml:space="preserve">2. Subsidiary launch order (2 to 3 per year)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800"/>
        <w:gridCol w:w="1000"/>
        <w:gridCol w:w="41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Rank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Launch year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Why now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Digital identity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First dependency of everything else: reusable KYC and authentication across group products + third parties — the trust layer.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PAY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Regional payment network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Acquiring + cross-border rails connecting MNOs, banks and BTC liquidity. Monetises the existing BitLibera base immediately.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ACADEMY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institution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Nothing scales without engineers and operators. Formalises LEARN BTC into the group's hiring pipeline from year one.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SECURITY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Cybersecurity infra &amp; SOC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Payments and identity cannot run unprotected. Becomes a managed service sold to banks and public bodies.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Data &amp; analytics infra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data platform once PAY and ID generate volume; commercial analytics for banks, MNOs, regulators.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MEDIA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Media holding (AFJ + adjacencies)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Cheap to stand up, compounds distribution and institutional credibility for every later launch.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CLOUD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Sovereign cloud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data residency for governments and regulated industries — required before any public-sector contract.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GOV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 services platform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White-label civic stack: portals, payments, ID, records. Activated as soon as sovereign hosting exists.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FOUNDATION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Public-interest arm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Open-source, scholarships, civic tech. Protects the social license before the group becomes systemically visible.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LABS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Applied R&amp;D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Cryptography, AI, hardware, civic tech — funded only once core products produce cash.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CAPITAL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Venture arm + fund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Backs adjacent founders, sources M&amp;A, extends the ecosystem once the balance sheet allows it.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MARKET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Digital commerce rails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Catalog + checkout + logistics handoff for SME commerce, built on top of PAY and ID.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COMPUTE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African GPU cloud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sovereignty requires owned compute. Follows CLOUD and Yepo demand — otherwise we stay tenants forever.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AGRI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Agricultural data &amp; finance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Combines DATA + PAY + COMPUTE for the continent's largest sector — needs all three to exist first.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HEALTH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Health-data infrastructure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Highest regulatory bar; launched last, on mature ID, CLOUD and SECURITY foundations.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8"/>
          <w:szCs w:val="28"/>
        </w:rPr>
        <w:t xml:space="preserve">3. Phase priorities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3660"/>
        <w:gridCol w:w="1400"/>
        <w:gridCol w:w="16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Years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Priority goals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Funding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Unify group identity · Stabilize MS + AFJ + Yepo + LEARN BTC · Establish governance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12M FBU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Bootstrap + small angel (25M FBU)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Validation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Repeatable revenue per product · Hire senior product/eng · Define group platform v0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30M FBU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Seed round 25–50M FBU (strategic angels + 1 African VC)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Growth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2029–2030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 sovereign infrastructure (CLOUD, GOV) · Open APIs · Open Kigali office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70M → 140M FBU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Series A 80–150M FBU + DFI co-investment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Regional Expansion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Operate in 3+ countries · Government contracts · Sovereign cloud certifications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240M → 550M FBU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Series B/C 250–500M FBU; blended capital with DFIs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Infrastructure Leadership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2034–2036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Foundational infra status · Public listing or strategic capital · African-owned compute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750M → 1,3 Md FBU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Pre-IPO / IPO / strategic minority partner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8"/>
          <w:szCs w:val="28"/>
        </w:rPr>
        <w:t xml:space="preserve">4. Non-negotiable sequencing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Nothing launches before its dependency exists: ID before PAY, PAY before MARKET, CLOUD before GOV.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new entity is created only when internal demand already covers at least half of its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Cash-generating products keep priority over infrastructure ambitions in any given year.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Maximum three new entities per year — beyond that, execution quality collapses.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Every priority carries one owner, one deadline and one measurable indicator.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Priorities · Confidential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2026-09-27T08:30:23.048Z</dcterms:created>
  <dcterms:modified xsi:type="dcterms:W3CDTF">2026-09-27T08:30:23.048Z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