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LEARN BTC</w:t>
      </w:r>
    </w:p>
    <w:p>
      <w:pPr>
        <w:spacing w:after="120"/>
      </w:pPr>
      <w:r>
        <w:rPr>
          <w:rFonts w:ascii="Arial" w:cs="Arial" w:eastAsia="Arial" w:hAnsi="Arial"/>
          <w:b w:val="false"/>
          <w:bCs w:val="false"/>
          <w:i w:val="false"/>
          <w:iCs w:val="false"/>
          <w:color w:val="6B7280"/>
          <w:sz w:val="24"/>
          <w:szCs w:val="24"/>
        </w:rPr>
        <w:t xml:space="preserve">Bitcoin &amp; digital-economy education — community, meetups, programmes</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LEARN BTC is the talent and trust engine of the group. It is expected to manufacture the engineers, agents, merchants and journalists that every other product needs, while giving SIGHT AFRICA social legitimacy with institutions and regulators.</w:t>
      </w:r>
    </w:p>
    <w:p>
      <w:pPr>
        <w:pStyle w:val="ListParagraph"/>
        <w:numPr>
          <w:ilvl w:val="0"/>
          <w:numId w:val="2"/>
        </w:numPr>
        <w:spacing w:after="80"/>
      </w:pPr>
      <w:r>
        <w:rPr>
          <w:rFonts w:ascii="Arial" w:cs="Arial" w:eastAsia="Arial" w:hAnsi="Arial"/>
          <w:color w:val="1F2937"/>
          <w:sz w:val="22"/>
          <w:szCs w:val="22"/>
        </w:rPr>
        <w:t xml:space="preserve">Turn a 500-person community into a certified, employable talent pipeline.</w:t>
      </w:r>
    </w:p>
    <w:p>
      <w:pPr>
        <w:pStyle w:val="ListParagraph"/>
        <w:numPr>
          <w:ilvl w:val="0"/>
          <w:numId w:val="2"/>
        </w:numPr>
        <w:spacing w:after="80"/>
      </w:pPr>
      <w:r>
        <w:rPr>
          <w:rFonts w:ascii="Arial" w:cs="Arial" w:eastAsia="Arial" w:hAnsi="Arial"/>
          <w:color w:val="1F2937"/>
          <w:sz w:val="22"/>
          <w:szCs w:val="22"/>
        </w:rPr>
        <w:t xml:space="preserve">Supply at least 40% of group hires from its own alumni by 2032.</w:t>
      </w:r>
    </w:p>
    <w:p>
      <w:pPr>
        <w:pStyle w:val="ListParagraph"/>
        <w:numPr>
          <w:ilvl w:val="0"/>
          <w:numId w:val="2"/>
        </w:numPr>
        <w:spacing w:after="80"/>
      </w:pPr>
      <w:r>
        <w:rPr>
          <w:rFonts w:ascii="Arial" w:cs="Arial" w:eastAsia="Arial" w:hAnsi="Arial"/>
          <w:color w:val="1F2937"/>
          <w:sz w:val="22"/>
          <w:szCs w:val="22"/>
        </w:rPr>
        <w:t xml:space="preserve">Sell corporate and institutional training to banks, MNOs and public bodies.</w:t>
      </w:r>
    </w:p>
    <w:p>
      <w:pPr>
        <w:pStyle w:val="ListParagraph"/>
        <w:numPr>
          <w:ilvl w:val="0"/>
          <w:numId w:val="2"/>
        </w:numPr>
        <w:spacing w:after="80"/>
      </w:pPr>
      <w:r>
        <w:rPr>
          <w:rFonts w:ascii="Arial" w:cs="Arial" w:eastAsia="Arial" w:hAnsi="Arial"/>
          <w:color w:val="1F2937"/>
          <w:sz w:val="22"/>
          <w:szCs w:val="22"/>
        </w:rPr>
        <w:t xml:space="preserve">300k+ alumni and 700 M FBU revenue by 2036, becoming SIGHT ACADEMY.</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Paid cohorts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Per-learner tuition, instalments via My Satoshis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B2B contracts, per-seat pricing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Certification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Exam + credential fee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&amp; grants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Partners, DFIs, foundations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Placement fees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Fee on alumni hired by third parties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Curriculum design, trainer certification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cohort tooling, 2 physical classrooms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350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in Kirundi/French, regional hubs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 Md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Campus, accreditation, research unit</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 — standard LMS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Low-bandwidth and offline-first delivery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Training-provider accreditation for diplomas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Trainer supply and cohort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Tuition affordability — subsidised via sponsors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Instructional designer + 6 certified trainers</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LMS with cohort scheduling, attendance and certification.</w:t>
      </w:r>
    </w:p>
    <w:p>
      <w:pPr>
        <w:pStyle w:val="ListParagraph"/>
        <w:numPr>
          <w:ilvl w:val="0"/>
          <w:numId w:val="2"/>
        </w:numPr>
        <w:spacing w:after="80"/>
      </w:pPr>
      <w:r>
        <w:rPr>
          <w:rFonts w:ascii="Arial" w:cs="Arial" w:eastAsia="Arial" w:hAnsi="Arial"/>
          <w:color w:val="1F2937"/>
          <w:sz w:val="22"/>
          <w:szCs w:val="22"/>
        </w:rPr>
        <w:t xml:space="preserve">Offline-capable content packs, WhatsApp-based learner support.</w:t>
      </w:r>
    </w:p>
    <w:p>
      <w:pPr>
        <w:pStyle w:val="ListParagraph"/>
        <w:numPr>
          <w:ilvl w:val="0"/>
          <w:numId w:val="2"/>
        </w:numPr>
        <w:spacing w:after="80"/>
      </w:pPr>
      <w:r>
        <w:rPr>
          <w:rFonts w:ascii="Arial" w:cs="Arial" w:eastAsia="Arial" w:hAnsi="Arial"/>
          <w:color w:val="1F2937"/>
          <w:sz w:val="22"/>
          <w:szCs w:val="22"/>
        </w:rPr>
        <w:t xml:space="preserve">AI-personalised learning paths from 2031, shared with SIGHT LABS.</w:t>
      </w:r>
    </w:p>
    <w:p>
      <w:pPr>
        <w:pStyle w:val="ListParagraph"/>
        <w:numPr>
          <w:ilvl w:val="0"/>
          <w:numId w:val="2"/>
        </w:numPr>
        <w:spacing w:after="80"/>
      </w:pPr>
      <w:r>
        <w:rPr>
          <w:rFonts w:ascii="Arial" w:cs="Arial" w:eastAsia="Arial" w:hAnsi="Arial"/>
          <w:color w:val="1F2937"/>
          <w:sz w:val="22"/>
          <w:szCs w:val="22"/>
        </w:rPr>
        <w:t xml:space="preserve">Alumni CRM feeding group recruitment.</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Learners / year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Completion rate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hired by group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1 500</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Convert core volunteers into paid staff by 2027</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Modular curriculum, trainer-of-trainers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delays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 with an existing accredited institution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 toward pure commerce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Charter: 30% of seats subsidised</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Community of ~500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Sponsorships, donations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Meetups · Workshops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BTC community in Burundi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 grassroots reach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WordPress / lightweight web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 + volunteers</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3k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4M FBU (programs + sponsorships)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Online cohorts · Certificates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Formal learning provider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Local-language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 cohort tooling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60k learners across EAC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120M FBU (programs + B2B)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 · Fintech, AI &amp; cybersecurity tracks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Regional digital economy school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cycles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 + diaspora alumni network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LMS · Live cohort infra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300k+ alumni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University partnerships · National curriculum input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SIGHT ACADEMY brand — regional reference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retention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 SIGHT employees, founders, partners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AI-personalized learning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Pan-African talent engine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Recurring B2B + government contracts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Apprenticeships · Research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Tier-1 African tech institution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moat for the entire group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Integrated with SIGHT LABS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2026-08-10T07:31:39.135Z</dcterms:created>
  <dcterms:modified xsi:type="dcterms:W3CDTF">2026-08-10T07:31:39.135Z</dcterms:modified>
</cp:coreProperties>
</file>

<file path=docProps/custom.xml><?xml version="1.0" encoding="utf-8"?>
<Properties xmlns="http://schemas.openxmlformats.org/officeDocument/2006/custom-properties" xmlns:vt="http://schemas.openxmlformats.org/officeDocument/2006/docPropsVTypes"/>
</file>