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CLOUD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Sovereign cloud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2029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Local data residency for governments and regulated industries. Hard requirement for digital sovereignty.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2029, once the ecosystem demand for sovereign cloud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2030–2032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2033+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2026-08-10T07:31:39.327Z</dcterms:created>
  <dcterms:modified xsi:type="dcterms:W3CDTF">2026-08-10T07:31:39.327Z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