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0E7C7B"/>
          <w:sz w:val="18"/>
          <w:szCs w:val="18"/>
        </w:rPr>
        <w:t xml:space="preserve">SIGHT AFRICA · STRATEGIC OPERATING SYSTEM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1F2937"/>
          <w:sz w:val="56"/>
          <w:szCs w:val="56"/>
        </w:rPr>
        <w:t xml:space="preserve">SIGHT GOV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B7280"/>
          <w:sz w:val="24"/>
          <w:szCs w:val="24"/>
        </w:rPr>
        <w:t xml:space="preserve">Government services platform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/>
          <w:iCs/>
          <w:color w:val="6B7280"/>
          <w:sz w:val="18"/>
          <w:szCs w:val="18"/>
        </w:rPr>
        <w:t xml:space="preserve">Planned incorporation: 2031 · Execution starts 1 January 2027 · All amounts in FBU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1. What we expect from this entity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937"/>
          <w:sz w:val="22"/>
          <w:szCs w:val="22"/>
        </w:rPr>
        <w:t xml:space="preserve">White-label civic stack: portals, payments, ID, records.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Created in 2031, once the ecosystem demand for government services platform is proven by group volume.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Serves group products first (internal customer), then external clients.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Runs as a subsidiary with its own P&amp;L, managing director and board.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2. Economic model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Revenue line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Mechanism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Primary customer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Internal services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Transfer pricing to SIGHT subsidiaries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Group products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External subscriptions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Recurring contracts, annual commitment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Banks, MNOs, corporates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Public-sector contracts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Tendered multi-year contracts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Governments, regulators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Usage-based fees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Per call / per unit consumed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Developers, partners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3. Investment required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Phase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Window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Capital needed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Main use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Study &amp; design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2030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60 M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Feasibility, architecture, legal structure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Incorporation &amp; MVP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2031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450 M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Entity setup, core team, first platform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Commercial ramp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2032–2034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 Mds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Sales, certification, capacity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Consolidation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2035+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Self-funded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Reinvested cash flow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4. Feasibility assessment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Dimension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Assessment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Condition to satisfy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Technical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Conditional on group maturity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Reuse of group platform (PAY · ID · CLOUD)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Regulatory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Sector-specific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Licences and certifications obtained before launch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Operational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Managing director recruited 12 months before launch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Financial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Funded by group cash flow + DFI debt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Group EBITDA positive at incorporation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Talent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Core team sourced from SIGHT ACADEMY alumni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5. Decision rule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Build only when internal demand already justifies at least 50% of the cost base.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Wait if the market is not ready or a partner can serve it better for now.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Outsource the first version, then internalise once volume is proven.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6. Risks &amp; mitigations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Risk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Impact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Mitigation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Premature launch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High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Gate on internal demand thresholds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Capital diversion from core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High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Hard cap on group funding per entity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Regulatory blockage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Pre-launch regulatory engagement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Talent scarcity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Academy pipeline + diaspora recruitment</w:t>
            </w:r>
          </w:p>
        </w:tc>
      </w:tr>
    </w:tbl>
    <w:sectPr>
      <w:footerReference w:type="default" r:id="rId7"/>
      <w:pgSz w:w="12240" w:h="15840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rFonts w:ascii="Arial" w:cs="Arial" w:eastAsia="Arial" w:hAnsi="Arial"/>
        <w:color w:val="6B7280"/>
        <w:sz w:val="16"/>
        <w:szCs w:val="16"/>
      </w:rPr>
      <w:t xml:space="preserve">SIGHT AFRICA · Confidential product dossier · page </w:t>
    </w:r>
    <w:r>
      <w:rPr>
        <w:rFonts w:ascii="Arial" w:cs="Arial" w:eastAsia="Arial" w:hAnsi="Arial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2026-08-10T07:31:39.594Z</dcterms:created>
  <dcterms:modified xsi:type="dcterms:W3CDTF">2026-08-10T07:31:39.594Z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