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E7C7B"/>
          <w:sz w:val="18"/>
          <w:szCs w:val="18"/>
        </w:rPr>
        <w:t xml:space="preserve">SIGHT AFRICA · STRATEGIC OPERATING SYSTEM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2937"/>
          <w:sz w:val="56"/>
          <w:szCs w:val="56"/>
        </w:rPr>
        <w:t xml:space="preserve">SIGHT CLOUD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Sovereign cloud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Planned incorporation: 2029 · Execution starts 1 January 2027 · All amounts in FBU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1. What we expect from this entity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Local data residency for governments and regulated industries — required before any public-sector contract.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Created in 2029, once the ecosystem demand for sovereign cloud is proven by group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Serves group products first (internal customer), then external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Runs as a subsidiary with its own P&amp;L, managing director and board.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2. Economic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Revenue 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Internal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Transfer pricing to SIGHT subsidiaries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products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External 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Recurring contracts, annual commitment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Banks, MNOs, corporates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Public-sector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Tendered multi-year contracts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Governments, regulators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Usage-based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 call / per unit consumed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Developers, partners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3. Investment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Window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Capital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Study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Feasibility, architecture, legal structure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Incorporation &amp;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450 M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Entity setup, core team, first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Commercial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2030–2032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Mds FBU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Sales, certification, 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2033+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Self-funded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Reinvested cash flow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4. Feasibility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Assessment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Condition to satisfy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Conditional on group maturity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Reuse of group platform (PAY · ID · CLOUD)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Sector-specific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Licences and certifications obtained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Managing director recruited 12 months before launch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Funded by group cash flow + DFI debt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Group EBITDA positive at incorporation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Core team sourced from SIGHT ACADEMY alumni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5. Decision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only when internal demand already justifies at least 50% of the cost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if the market is not ready or a partner can serve it better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Outsource the first version, then internalise once volume is proven.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6"/>
          <w:szCs w:val="26"/>
        </w:rP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Premature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Gate on internal demand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Capital diversion from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Hard cap on group funding per entity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Regulatory blockage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Pre-launch regulatory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Talent scarcity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Academy pipeline + diaspora recruitment</w:t>
            </w:r>
          </w:p>
        </w:tc>
      </w:tr>
    </w:tbl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6"/>
        <w:szCs w:val="16"/>
      </w:rPr>
      <w:t xml:space="preserve">SIGHT AFRICA · Confidential product dossier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2026-09-10T13:57:44.566Z</dcterms:created>
  <dcterms:modified xsi:type="dcterms:W3CDTF">2026-09-10T13:57:44.566Z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