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E7C7B"/>
          <w:sz w:val="18"/>
          <w:szCs w:val="18"/>
        </w:rPr>
        <w:t xml:space="preserve">SIGHT AFRICA · STRATEGIC OPERATING SYSTEM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F2937"/>
          <w:sz w:val="56"/>
          <w:szCs w:val="56"/>
        </w:rPr>
        <w:t xml:space="preserve">SIGHT MEDIA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4"/>
          <w:szCs w:val="24"/>
        </w:rPr>
        <w:t xml:space="preserve">Media holding (AFJ + adjacencies)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Planned incorporation: 2028 · Execution starts 1 January 2027 · All amounts in FBU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1. What we expect from this entity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Cheap to stand up, compounds distribution and institutional credibility for every later launch.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Created in 2028, once the ecosystem demand for media holding (afj + adjacencies) is proven by group volume.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Serves group products first (internal customer), then external clients.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Runs as a subsidiary with its own P&amp;L, managing director and board.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2. Economic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Mechanism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Primary customer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Internal services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Transfer pricing to SIGHT subsidiaries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products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External subscriptions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Recurring contracts, annual commitment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Banks, MNOs, corporates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Public-sector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Tendered multi-year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Governments, regulators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Usage-based fees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Per call / per unit consumed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Developers, partners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3. Investment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Phase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Window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Capital needed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Main use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Study &amp; design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Feasibility, architecture, legal structure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Incorporation &amp; MVP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450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Entity setup, core team, first platform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Commercial ramp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2029–2031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 Mds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Sales, certification, capacity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Consolidation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2032+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Self-funded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Reinvested cash flow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4. Feasibility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Assessment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Condition to satisfy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Technical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Conditional on group maturity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Reuse of group platform (PAY · ID · CLOUD)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Sector-specific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Licences and certifications obtained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Operational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Managing director recruited 12 months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Financial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Funded by group cash flow + DFI debt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EBITDA positive at incorporation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Core team sourced from SIGHT ACADEMY alumni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5. Decision rule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Build only when internal demand already justifies at least 50% of the cost base.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Wait if the market is not ready or a partner can serve it better for now.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Outsource the first version, then internalise once volume is proven.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6.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Risk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Impact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Premature launch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Gate on internal demand thresholds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Capital diversion from core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Hard cap on group funding per entity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 blockage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Pre-launch regulatory engagement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 scarcity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Academy pipeline + diaspora recruitment</w:t>
            </w:r>
          </w:p>
        </w:tc>
      </w:tr>
    </w:tbl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B7280"/>
        <w:sz w:val="16"/>
        <w:szCs w:val="16"/>
      </w:rPr>
      <w:t xml:space="preserve">SIGHT AFRICA · Confidential product dossier ·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2026-08-10T07:43:04.137Z</dcterms:created>
  <dcterms:modified xsi:type="dcterms:W3CDTF">2026-08-10T07:43:04.137Z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