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Abstract</w:t>
      </w:r>
    </w:p>
    <w:p>
      <w:pPr>
        <w:spacing w:after="120"/>
      </w:pPr>
      <w:r>
        <w:t xml:space="preserve">This document is a follow-up to the diagnostics work. The diagnostics supported Matt’s hypothesis that Value carries a structural anti-PMOM bet, with Earnings_Value as the strongest carrier in SPX, MXEA, and MXWO, hurting performance mostly in low DD when PMOM does best. The natural next step is to test PMOM neutralization directly. This document does that at three levels: factor theme, super factor, and Weighted Factor Composite (WFC).</w:t>
      </w:r>
    </w:p>
    <w:p>
      <w:pPr>
        <w:shd w:fill="E7E6E6" w:val="clear"/>
        <w:spacing w:after="40" w:before="80"/>
        <w:ind w:left="360" w:right="360"/>
      </w:pPr>
      <w:r>
        <w:rPr>
          <w:b/>
          <w:bCs/>
        </w:rPr>
        <w:t xml:space="preserve">Reminder from the diagnostics — the Value/PMOM identity:</w:t>
      </w:r>
    </w:p>
    <w:p>
      <w:pPr>
        <w:shd w:fill="E7E6E6" w:val="clear"/>
        <w:spacing w:after="40" w:before="0"/>
        <w:ind w:left="360" w:right="360"/>
      </w:pPr>
      <w:r>
        <w:rPr>
          <w:b/>
          <w:bCs/>
        </w:rPr>
        <w:t xml:space="preserve">Value ≈ STREV − PMOM + lagged fundamental term</w:t>
      </w:r>
    </w:p>
    <w:p>
      <w:pPr>
        <w:shd w:fill="E7E6E6" w:val="clear"/>
        <w:spacing w:after="80" w:before="0"/>
        <w:ind w:left="360" w:right="360"/>
      </w:pPr>
      <w:r>
        <w:rPr>
          <w:i/>
          <w:iCs/>
        </w:rPr>
        <w:t xml:space="preserve">Any stock whose price rises gets less good on Value through the denominator. This is the mechanical source of the anti-PMOM bet, and it is concentrated in Earnings_Value because earnings are sticky enough that the price term dominates the ratio.</w:t>
      </w:r>
    </w:p>
    <w:p>
      <w:pPr>
        <w:spacing w:after="120"/>
      </w:pPr>
      <w:r>
        <w:t xml:space="preserve">I compare a Baseline track (neutralized to standard risk factors but not to momentum) with a PMOM-neut track at every level of the factor hierarchy. I do this conditional on DD state, since the diagnostics already established that the regime matters. I also test three WFC variants — neutralizing all of Value and Quality (WFC[V·Q]), only Value (WFC[V]), or only Earnings_Value (WFC[EV]) — to see how a factor-level result propagates to the composite that actually feeds the portfolio.</w:t>
      </w:r>
    </w:p>
    <w:p>
      <w:pPr>
        <w:spacing w:after="120"/>
      </w:pPr>
      <w:r>
        <w:rPr>
          <w:b/>
          <w:bCs/>
        </w:rPr>
        <w:t xml:space="preserve">What the results show:</w:t>
      </w:r>
    </w:p>
    <w:p>
      <w:pPr>
        <w:pStyle w:val="ListParagraph"/>
        <w:numPr>
          <w:ilvl w:val="0"/>
          <w:numId w:val="2"/>
        </w:numPr>
        <w:spacing w:after="120"/>
      </w:pPr>
      <w:r>
        <w:t xml:space="preserve">At the </w:t>
      </w:r>
      <w:r>
        <w:rPr>
          <w:b/>
          <w:bCs/>
        </w:rPr>
        <w:t xml:space="preserve">score level</w:t>
      </w:r>
      <w:r>
        <w:t xml:space="preserve">, PMOM-neut works as designed: cross-sectional Corr(theme, PMOM) collapses to ~0 across all factor themes, and its variability through time is cut by ~60%.</w:t>
      </w:r>
    </w:p>
    <w:p>
      <w:pPr>
        <w:pStyle w:val="ListParagraph"/>
        <w:numPr>
          <w:ilvl w:val="0"/>
          <w:numId w:val="2"/>
        </w:numPr>
        <w:spacing w:after="120"/>
      </w:pPr>
      <w:r>
        <w:t xml:space="preserve">At the </w:t>
      </w:r>
      <w:r>
        <w:rPr>
          <w:b/>
          <w:bCs/>
        </w:rPr>
        <w:t xml:space="preserve">L/S return level</w:t>
      </w:r>
      <w:r>
        <w:t xml:space="preserve">, PMOM-neut substantially reduces but does not eliminate the negative return correlation between Earnings_Value and PMOM. The residual reflects the structural nature of the Value/PMOM identity, which operates over a longer horizon than the cross-sectional score neutralization can capture.</w:t>
      </w:r>
    </w:p>
    <w:p>
      <w:pPr>
        <w:pStyle w:val="ListParagraph"/>
        <w:numPr>
          <w:ilvl w:val="0"/>
          <w:numId w:val="2"/>
        </w:numPr>
        <w:spacing w:after="120"/>
      </w:pPr>
      <w:r>
        <w:t xml:space="preserve">At the </w:t>
      </w:r>
      <w:r>
        <w:rPr>
          <w:b/>
          <w:bCs/>
        </w:rPr>
        <w:t xml:space="preserve">factor theme level</w:t>
      </w:r>
      <w:r>
        <w:t xml:space="preserve">, PMOM-neut on Earnings_Value produces the predicted regime flip: Low DD IR +0.10, High DD IR −0.07, sign-consistent across every universe. Value as a super factor shows the same pattern at diluted magnitude (+0.06 / −0.03), consistent with EV being a 37.5% component of Value. Other factor themes show no regime flip — consistent with their lack of a structural anti-PMOM tilt.</w:t>
      </w:r>
    </w:p>
    <w:p>
      <w:pPr>
        <w:pStyle w:val="ListParagraph"/>
        <w:numPr>
          <w:ilvl w:val="0"/>
          <w:numId w:val="2"/>
        </w:numPr>
        <w:spacing w:after="120"/>
      </w:pPr>
      <w:r>
        <w:t xml:space="preserve">At the </w:t>
      </w:r>
      <w:r>
        <w:rPr>
          <w:b/>
          <w:bCs/>
        </w:rPr>
        <w:t xml:space="preserve">WFC composite level</w:t>
      </w:r>
      <w:r>
        <w:t xml:space="preserve">, none of the three variants delivers a meaningful IR improvement in either regime. The factor-theme finding gets diluted: Earnings_Value is ~12.5% of the WFC by weight, so a +0.10 IR effect at the theme level becomes ~+0.012 IR at the composite — within the noise floor of the cross-universe estimate.</w:t>
      </w:r>
    </w:p>
    <w:p>
      <w:pPr>
        <w:spacing w:after="120"/>
      </w:pPr>
      <w:r>
        <w:t xml:space="preserve">The factor-theme result confirms Matt’s hypothesis and argues for regime-conditional application of PMOM-neut at the Earnings_Value level. Capturing the same effect at the WFC composite would require changes beyond score-level neutralization, which is an open question for follow-up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2026-05-20T00:00:22.652Z</dcterms:created>
  <dcterms:modified xsi:type="dcterms:W3CDTF">2026-05-20T00:00:22.653Z</dcterms:modified>
</cp:coreProperties>
</file>

<file path=docProps/custom.xml><?xml version="1.0" encoding="utf-8"?>
<Properties xmlns="http://schemas.openxmlformats.org/officeDocument/2006/custom-properties" xmlns:vt="http://schemas.openxmlformats.org/officeDocument/2006/docPropsVTypes"/>
</file>