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2 — working notes</w:t>
      </w:r>
    </w:p>
    <w:p>
      <w:pPr>
        <w:spacing w:after="120"/>
      </w:pPr>
      <w:r>
        <w:t xml:space="preserve">Same structure as Section 1. </w:t>
      </w:r>
      <w:r>
        <w:rPr>
          <w:b/>
          <w:bCs/>
        </w:rPr>
        <w:t xml:space="preserve">Part A</w:t>
      </w:r>
      <w:r>
        <w:t xml:space="preserve"> is reasoning material on how to frame Section 2 — reference for your own use, some of which can become footnotes if Matt asks. </w:t>
      </w:r>
      <w:r>
        <w:rPr>
          <w:b/>
          <w:bCs/>
        </w:rPr>
        <w:t xml:space="preserve">Part B</w:t>
      </w:r>
      <w:r>
        <w:t xml:space="preserve"> is the Section 2 you can paste, with your existing tables preserved.</w:t>
      </w:r>
    </w:p>
    <w:p>
      <w:pPr>
        <w:pStyle w:val="Heading1"/>
      </w:pPr>
      <w:r>
        <w:t xml:space="preserve">Part A — How to frame Section 2</w:t>
      </w:r>
    </w:p>
    <w:p>
      <w:pPr>
        <w:pStyle w:val="Heading2"/>
      </w:pPr>
      <w:r>
        <w:t xml:space="preserve">The theory prediction</w:t>
      </w:r>
    </w:p>
    <w:p>
      <w:pPr>
        <w:spacing w:after="120"/>
      </w:pPr>
      <w:r>
        <w:t xml:space="preserve">Matt’s April hypothesis: in Low DD, when PMOM is rewarded, Value’s structural anti-PMOM tilt is a drag on performance. In High DD, when PMOM crashes, that same tilt is a natural hedge. The theory predicts a </w:t>
      </w:r>
      <w:r>
        <w:rPr>
          <w:b/>
          <w:bCs/>
        </w:rPr>
        <w:t xml:space="preserve">directional flip</w:t>
      </w:r>
      <w:r>
        <w:t xml:space="preserve"> in the IR delta of PMOM-neut vs Baseline across regimes:</w:t>
      </w:r>
    </w:p>
    <w:p>
      <w:pPr>
        <w:pStyle w:val="ListParagraph"/>
        <w:numPr>
          <w:ilvl w:val="0"/>
          <w:numId w:val="2"/>
        </w:numPr>
        <w:spacing w:after="80"/>
      </w:pPr>
      <w:r>
        <w:rPr>
          <w:b w:val="false"/>
          <w:bCs w:val="false"/>
        </w:rPr>
        <w:t xml:space="preserve">Low DD: PMOM-neut should help (positive IR delta).</w:t>
      </w:r>
    </w:p>
    <w:p>
      <w:pPr>
        <w:pStyle w:val="ListParagraph"/>
        <w:numPr>
          <w:ilvl w:val="0"/>
          <w:numId w:val="2"/>
        </w:numPr>
        <w:spacing w:after="80"/>
      </w:pPr>
      <w:r>
        <w:rPr>
          <w:b w:val="false"/>
          <w:bCs w:val="false"/>
        </w:rPr>
        <w:t xml:space="preserve">High DD: PMOM-neut should hurt (negative IR delta).</w:t>
      </w:r>
    </w:p>
    <w:p>
      <w:pPr>
        <w:spacing w:after="120"/>
      </w:pPr>
      <w:r>
        <w:t xml:space="preserve">The strength of the test is the regime flip itself, not the unconditional average. Averaging across regimes washes out the directional signal because the two regimes pull in opposite directions.</w:t>
      </w:r>
    </w:p>
    <w:p>
      <w:pPr>
        <w:pStyle w:val="Heading2"/>
      </w:pPr>
      <w:r>
        <w:t xml:space="preserve">How to structure the section</w:t>
      </w:r>
    </w:p>
    <w:p>
      <w:pPr>
        <w:spacing w:after="120"/>
      </w:pPr>
      <w:r>
        <w:t xml:space="preserve">Show 2.A (unconditional) and 2.B (DD-conditional) as parallel sub-sections, but put most of the commentary in 2.B. 2.A serves as the table reference; 2.B is where the story lives.</w:t>
      </w:r>
    </w:p>
    <w:p>
      <w:pPr>
        <w:spacing w:after="120"/>
      </w:pPr>
      <w:r>
        <w:t xml:space="preserve">Lead 2.B with Earnings_Value. EV is where the regime flip is cleanest and largest. The other factor themes serve as supporting evidence: factors without a structural anti-PMOM tilt don’t have a contamination to remove, so neutralization either does nothing or adds noise. The absence of a regime flip in Quality, Profit, Investment, FCF_Value, TYTD2EV1Y is consistent with the theory — not a counter-example.</w:t>
      </w:r>
    </w:p>
    <w:p>
      <w:pPr>
        <w:pStyle w:val="Heading2"/>
      </w:pPr>
      <w:r>
        <w:t xml:space="preserve">How to handle the “vol decreases more than return increases” observation</w:t>
      </w:r>
    </w:p>
    <w:p>
      <w:pPr>
        <w:spacing w:after="120"/>
      </w:pPr>
      <w:r>
        <w:t xml:space="preserve">In the unconditional 2.A table, Earnings_Value’s IR improvement (+0.06) comes mostly from vol falling (−37 bps) rather than return rising (−2 bps on average). This is only a puzzle if you stop at the unconditional view. The DD split resolves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080"/>
        <w:gridCol w:w="2080"/>
        <w:gridCol w:w="20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90"/>
              <w:left w:type="dxa" w:w="120"/>
              <w:bottom w:type="dxa" w:w="90"/>
              <w:right w:type="dxa" w:w="120"/>
            </w:tcMar>
          </w:tcPr>
          <w:p>
            <w:pPr>
              <w:jc w:val="center"/>
            </w:pPr>
            <w:r>
              <w:rPr>
                <w:b/>
                <w:bCs/>
              </w:rPr>
              <w:t xml:space="preserve">Earnings_Value change</w:t>
            </w:r>
          </w:p>
        </w:tc>
        <w:tc>
          <w:tcPr>
            <w:tcW w:type="dxa" w:w="2080"/>
            <w:tcBorders>
              <w:top w:val="single" w:color="CCCCCC" w:sz="1"/>
              <w:left w:val="single" w:color="CCCCCC" w:sz="1"/>
              <w:bottom w:val="single" w:color="CCCCCC" w:sz="1"/>
              <w:right w:val="single" w:color="CCCCCC" w:sz="1"/>
            </w:tcBorders>
            <w:shd w:fill="D5E8F0" w:val="clear"/>
            <w:tcMar>
              <w:top w:type="dxa" w:w="90"/>
              <w:left w:type="dxa" w:w="120"/>
              <w:bottom w:type="dxa" w:w="90"/>
              <w:right w:type="dxa" w:w="120"/>
            </w:tcMar>
          </w:tcPr>
          <w:p>
            <w:pPr>
              <w:jc w:val="center"/>
            </w:pPr>
            <w:r>
              <w:rPr>
                <w:b/>
                <w:bCs/>
              </w:rPr>
              <w:t xml:space="preserve">Full sample</w:t>
            </w:r>
          </w:p>
        </w:tc>
        <w:tc>
          <w:tcPr>
            <w:tcW w:type="dxa" w:w="2080"/>
            <w:tcBorders>
              <w:top w:val="single" w:color="CCCCCC" w:sz="1"/>
              <w:left w:val="single" w:color="CCCCCC" w:sz="1"/>
              <w:bottom w:val="single" w:color="CCCCCC" w:sz="1"/>
              <w:right w:val="single" w:color="CCCCCC" w:sz="1"/>
            </w:tcBorders>
            <w:shd w:fill="D5E8F0" w:val="clear"/>
            <w:tcMar>
              <w:top w:type="dxa" w:w="90"/>
              <w:left w:type="dxa" w:w="120"/>
              <w:bottom w:type="dxa" w:w="90"/>
              <w:right w:type="dxa" w:w="120"/>
            </w:tcMar>
          </w:tcPr>
          <w:p>
            <w:pPr>
              <w:jc w:val="center"/>
            </w:pPr>
            <w:r>
              <w:rPr>
                <w:b/>
                <w:bCs/>
              </w:rPr>
              <w:t xml:space="preserve">Low DD</w:t>
            </w:r>
          </w:p>
        </w:tc>
        <w:tc>
          <w:tcPr>
            <w:tcW w:type="dxa" w:w="2080"/>
            <w:tcBorders>
              <w:top w:val="single" w:color="CCCCCC" w:sz="1"/>
              <w:left w:val="single" w:color="CCCCCC" w:sz="1"/>
              <w:bottom w:val="single" w:color="CCCCCC" w:sz="1"/>
              <w:right w:val="single" w:color="CCCCCC" w:sz="1"/>
            </w:tcBorders>
            <w:shd w:fill="D5E8F0" w:val="clear"/>
            <w:tcMar>
              <w:top w:type="dxa" w:w="90"/>
              <w:left w:type="dxa" w:w="120"/>
              <w:bottom w:type="dxa" w:w="90"/>
              <w:right w:type="dxa" w:w="120"/>
            </w:tcMar>
          </w:tcPr>
          <w:p>
            <w:pPr>
              <w:jc w:val="center"/>
            </w:pPr>
            <w:r>
              <w:rPr>
                <w:b/>
                <w:bCs/>
              </w:rPr>
              <w:t xml:space="preserve">High DD</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Return (bps)</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t xml:space="preserve">−2</w:t>
            </w:r>
          </w:p>
        </w:tc>
        <w:tc>
          <w:tcPr>
            <w:tcW w:type="dxa" w:w="2080"/>
            <w:tcBorders>
              <w:top w:val="single" w:color="CCCCCC" w:sz="1"/>
              <w:left w:val="single" w:color="CCCCCC" w:sz="1"/>
              <w:bottom w:val="single" w:color="CCCCCC" w:sz="1"/>
              <w:right w:val="single" w:color="CCCCCC" w:sz="1"/>
            </w:tcBorders>
            <w:shd w:fill="E2F0D9" w:val="clear"/>
            <w:tcMar>
              <w:top w:type="dxa" w:w="90"/>
              <w:left w:type="dxa" w:w="120"/>
              <w:bottom w:type="dxa" w:w="90"/>
              <w:right w:type="dxa" w:w="120"/>
            </w:tcMar>
          </w:tcPr>
          <w:p>
            <w:pPr>
              <w:jc w:val="center"/>
            </w:pPr>
            <w:r>
              <w:t xml:space="preserve">+22</w:t>
            </w:r>
          </w:p>
        </w:tc>
        <w:tc>
          <w:tcPr>
            <w:tcW w:type="dxa" w:w="2080"/>
            <w:tcBorders>
              <w:top w:val="single" w:color="CCCCCC" w:sz="1"/>
              <w:left w:val="single" w:color="CCCCCC" w:sz="1"/>
              <w:bottom w:val="single" w:color="CCCCCC" w:sz="1"/>
              <w:right w:val="single" w:color="CCCCCC" w:sz="1"/>
            </w:tcBorders>
            <w:shd w:fill="FBE4D5" w:val="clear"/>
            <w:tcMar>
              <w:top w:type="dxa" w:w="90"/>
              <w:left w:type="dxa" w:w="120"/>
              <w:bottom w:type="dxa" w:w="90"/>
              <w:right w:type="dxa" w:w="120"/>
            </w:tcMar>
          </w:tcPr>
          <w:p>
            <w:pPr>
              <w:jc w:val="center"/>
            </w:pPr>
            <w:r>
              <w:t xml:space="preserve">−8</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Vol (bps)</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t xml:space="preserve">−37</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t xml:space="preserve">−42</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t xml:space="preserve">similar</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r>
              <w:t xml:space="preserve">IR</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t xml:space="preserve">+0.06</w:t>
            </w:r>
          </w:p>
        </w:tc>
        <w:tc>
          <w:tcPr>
            <w:tcW w:type="dxa" w:w="2080"/>
            <w:tcBorders>
              <w:top w:val="single" w:color="CCCCCC" w:sz="1"/>
              <w:left w:val="single" w:color="CCCCCC" w:sz="1"/>
              <w:bottom w:val="single" w:color="CCCCCC" w:sz="1"/>
              <w:right w:val="single" w:color="CCCCCC" w:sz="1"/>
            </w:tcBorders>
            <w:shd w:fill="E2F0D9" w:val="clear"/>
            <w:tcMar>
              <w:top w:type="dxa" w:w="90"/>
              <w:left w:type="dxa" w:w="120"/>
              <w:bottom w:type="dxa" w:w="90"/>
              <w:right w:type="dxa" w:w="120"/>
            </w:tcMar>
          </w:tcPr>
          <w:p>
            <w:pPr>
              <w:jc w:val="center"/>
            </w:pPr>
            <w:r>
              <w:t xml:space="preserve">+0.10</w:t>
            </w:r>
          </w:p>
        </w:tc>
        <w:tc>
          <w:tcPr>
            <w:tcW w:type="dxa" w:w="2080"/>
            <w:tcBorders>
              <w:top w:val="single" w:color="CCCCCC" w:sz="1"/>
              <w:left w:val="single" w:color="CCCCCC" w:sz="1"/>
              <w:bottom w:val="single" w:color="CCCCCC" w:sz="1"/>
              <w:right w:val="single" w:color="CCCCCC" w:sz="1"/>
            </w:tcBorders>
            <w:shd w:fill="FBE4D5" w:val="clear"/>
            <w:tcMar>
              <w:top w:type="dxa" w:w="90"/>
              <w:left w:type="dxa" w:w="120"/>
              <w:bottom w:type="dxa" w:w="90"/>
              <w:right w:type="dxa" w:w="120"/>
            </w:tcMar>
          </w:tcPr>
          <w:p>
            <w:pPr>
              <w:jc w:val="center"/>
            </w:pPr>
            <w:r>
              <w:t xml:space="preserve">−0.07</w:t>
            </w:r>
          </w:p>
        </w:tc>
      </w:tr>
    </w:tbl>
    <w:p>
      <w:pPr>
        <w:spacing w:after="80"/>
      </w:pPr>
      <w:r>
        <w:t xml:space="preserve"/>
      </w:r>
    </w:p>
    <w:p>
      <w:pPr>
        <w:spacing w:after="120"/>
      </w:pPr>
      <w:r>
        <w:t xml:space="preserve">Return changes go in opposite directions across regimes: +22 bps in Low DD, −8 bps in High DD. Averaging produces −2 bps, which looks unimpressive. The vol reduction, by contrast, is mostly regime-invariant: removing the anti-PMOM tilt removes a source of cross-sectional dispersion in both regimes. So the full-sample finding “vol drops, return barely moves” is the artifact of averaging two regimes whose return effects partially cancel — not a real asymmetry.</w:t>
      </w:r>
    </w:p>
    <w:p>
      <w:pPr>
        <w:spacing w:after="120"/>
      </w:pPr>
      <w:r>
        <w:t xml:space="preserve">The right move in the write-up: don’t flag this as a puzzle in 2.A. In 2.A, briefly note that the IR improvement comes from vol rather than return on average, and point forward to 2.B for the regime story. In 2.B, the directional flip in return makes the structure clear without needing to call out the puzzle explicitly.</w:t>
      </w:r>
    </w:p>
    <w:p>
      <w:pPr>
        <w:pStyle w:val="Heading2"/>
      </w:pPr>
      <w:r>
        <w:t xml:space="preserve">Value as super factor — diluted EV pattern</w:t>
      </w:r>
    </w:p>
    <w:p>
      <w:pPr>
        <w:spacing w:after="120"/>
      </w:pPr>
      <w:r>
        <w:t xml:space="preserve">Value as a super factor shows a smaller but directionally identical pattern (Low DD +0.06 IR, High DD −0.03 IR). This is structural: EV is 37.5% of Value, and Value inherits the EV-driven anti-PMOM tilt at roughly that weight share. FCF_Value and TYTD2EV1Y contribute little anti-PMOM exposure (Section 1), so the Value super factor is mostly carrying EV’s signal diluted by the other two themes. One sentence is enough in the write-up.</w:t>
      </w:r>
    </w:p>
    <w:p>
      <w:pPr>
        <w:pStyle w:val="Heading2"/>
      </w:pPr>
      <w:r>
        <w:t xml:space="preserve">Implementation implication</w:t>
      </w:r>
    </w:p>
    <w:p>
      <w:pPr>
        <w:spacing w:after="120"/>
      </w:pPr>
      <w:r>
        <w:t xml:space="preserve">The regime flip is itself an argument for regime-conditional implementation: apply PMOM-neut in Low DD, don’t apply it in High DD. The Low DD half delivers a meaningful EV improvement (+0.10 IR), the High DD half costs you (−0.07 IR). Always-on neutralization keeps the Low DD benefit but pays the High DD cost — partially canceling itself.</w:t>
      </w:r>
    </w:p>
    <w:p>
      <w:pPr>
        <w:spacing w:after="120"/>
      </w:pPr>
      <w:r>
        <w:t xml:space="preserve">Worth stating in the Section 2 summary. The detailed implementation design (DD threshold, transition smoothing) is for follow-up work, not for this document.</w:t>
      </w:r>
    </w:p>
    <w:p>
      <w:r>
        <w:br w:type="page"/>
      </w:r>
    </w:p>
    <w:p>
      <w:pPr>
        <w:pStyle w:val="Heading1"/>
      </w:pPr>
      <w:r>
        <w:t xml:space="preserve">Part B — Section 2, ready to paste</w:t>
      </w:r>
    </w:p>
    <w:p>
      <w:pPr>
        <w:pBdr>
          <w:bottom w:val="single" w:color="B0B0B0" w:sz="6" w:space="1"/>
        </w:pBdr>
        <w:spacing w:after="240" w:before="240"/>
      </w:pPr>
      <w:r>
        <w:t xml:space="preserve"/>
      </w:r>
    </w:p>
    <w:p>
      <w:pPr>
        <w:pStyle w:val="Heading1"/>
      </w:pPr>
      <w:r>
        <w:t xml:space="preserve">2 Super factor / factor theme LS performance with/without PMOM neutralization</w:t>
      </w:r>
    </w:p>
    <w:p>
      <w:pPr>
        <w:spacing w:after="120"/>
      </w:pPr>
      <w:r>
        <w:t xml:space="preserve">Section 2 tests whether the score-vs-return gap from Section 1 — the residual anti-PMOM correlation in Earnings_Value after neutralization — actually translates into a performance difference. Matt’s April hypothesis predicts a specific pattern: in Low DD, when PMOM is rewarded, removing Value’s anti-PMOM tilt should help (positive IR delta). In High DD, when PMOM crashes, the tilt acts as a natural hedge and removing it should hurt (negative IR delta). The clean signature of the theory is therefore a directional flip in IR delta across regimes.</w:t>
      </w:r>
    </w:p>
    <w:p>
      <w:pPr>
        <w:spacing w:after="120"/>
      </w:pPr>
      <w:r>
        <w:t xml:space="preserve">We look at this in two ways. 2.A reports unconditional Ret/Vol/IR for each factor theme. 2.B splits the sample by DD state, which is where the regime flip becomes visible.</w:t>
      </w:r>
    </w:p>
    <w:p>
      <w:pPr>
        <w:pBdr>
          <w:bottom w:val="single" w:color="B0B0B0" w:sz="6" w:space="1"/>
        </w:pBdr>
        <w:spacing w:after="240" w:before="240"/>
      </w:pPr>
      <w:r>
        <w:t xml:space="preserve"/>
      </w:r>
    </w:p>
    <w:p>
      <w:pPr>
        <w:pStyle w:val="Heading2"/>
      </w:pPr>
      <w:r>
        <w:t xml:space="preserve">2.A — Full sample (unconditional)</w:t>
      </w:r>
    </w:p>
    <w:p>
      <w:pPr>
        <w:spacing w:after="120"/>
      </w:pPr>
      <w:r>
        <w:rPr>
          <w:b/>
          <w:bCs/>
        </w:rPr>
        <w:t xml:space="preserve">Baseline: factor theme WITHOUT PMOM neutralization.</w:t>
      </w:r>
    </w:p>
    <w:p>
      <w:pPr>
        <w:spacing w:after="120"/>
      </w:pPr>
      <w:r>
        <w:rPr>
          <w:b/>
          <w:bCs/>
        </w:rPr>
        <w:t xml:space="preserve">PMOM neut: factor theme WITH PMOM neutralization.</w:t>
      </w:r>
    </w:p>
    <w:p>
      <w:pPr>
        <w:spacing w:after="80"/>
      </w:pPr>
      <w:r>
        <w:t xml:space="preserve"/>
      </w:r>
    </w:p>
    <w:p>
      <w:pPr>
        <w:spacing w:after="120"/>
      </w:pPr>
      <w:r>
        <w:rPr>
          <w:b/>
          <w:bCs/>
        </w:rPr>
        <w:t xml:space="preserve">Average across universes:</w:t>
      </w:r>
    </w:p>
    <w:p>
      <w:pPr>
        <w:shd w:fill="F2F2F2" w:val="clear"/>
        <w:spacing w:after="120" w:before="120"/>
        <w:ind w:left="360" w:right="360"/>
      </w:pPr>
      <w:r>
        <w:rPr>
          <w:i/>
          <w:iCs/>
          <w:color w:val="808080"/>
        </w:rPr>
        <w:t xml:space="preserve">[Insert existing table: Cross-Universe Mean — Sub-Theme L/S Performance (Baseline vs PMOM Neut)]</w:t>
      </w:r>
    </w:p>
    <w:p>
      <w:pPr>
        <w:spacing w:after="120"/>
      </w:pPr>
      <w:r>
        <w:rPr>
          <w:b/>
          <w:bCs/>
        </w:rPr>
        <w:t xml:space="preserve">With PMOM neut vs Baseline (cross-universe average):</w:t>
      </w:r>
    </w:p>
    <w:p>
      <w:pPr>
        <w:pStyle w:val="ListParagraph"/>
        <w:numPr>
          <w:ilvl w:val="0"/>
          <w:numId w:val="2"/>
        </w:numPr>
        <w:spacing w:after="80"/>
      </w:pPr>
      <w:r>
        <w:rPr>
          <w:b/>
          <w:bCs/>
        </w:rPr>
        <w:t xml:space="preserve">Earnings_Value</w:t>
      </w:r>
      <w:r>
        <w:t xml:space="preserve"> is the only factor with a meaningful IR improvement (+0.06). The improvement comes from vol falling (−37 bps) rather than return increasing (−2 bps on average) — a point we return to in 2.B.</w:t>
      </w:r>
    </w:p>
    <w:p>
      <w:pPr>
        <w:pStyle w:val="ListParagraph"/>
        <w:numPr>
          <w:ilvl w:val="0"/>
          <w:numId w:val="2"/>
        </w:numPr>
        <w:spacing w:after="80"/>
      </w:pPr>
      <w:r>
        <w:rPr>
          <w:b/>
          <w:bCs/>
        </w:rPr>
        <w:t xml:space="preserve">Value</w:t>
      </w:r>
      <w:r>
        <w:t xml:space="preserve"> is essentially unchanged at the super-factor level.</w:t>
      </w:r>
    </w:p>
    <w:p>
      <w:pPr>
        <w:pStyle w:val="ListParagraph"/>
        <w:numPr>
          <w:ilvl w:val="0"/>
          <w:numId w:val="2"/>
        </w:numPr>
        <w:spacing w:after="80"/>
      </w:pPr>
      <w:r>
        <w:rPr>
          <w:b/>
          <w:bCs/>
        </w:rPr>
        <w:t xml:space="preserve">FCF_Value, TYTD2EV1Y, Profit, Investment, Quality</w:t>
      </w:r>
      <w:r>
        <w:t xml:space="preserve"> all show small negative IR changes (between −0.01 and −0.07). For factors without a structural anti-PMOM tilt to remove, neutralization adds noise rather than signal.</w:t>
      </w:r>
    </w:p>
    <w:p>
      <w:pPr>
        <w:spacing w:after="120"/>
      </w:pPr>
      <w:r>
        <w:t xml:space="preserve">The full-sample picture is suggestive but understates the theory’s prediction. Section 2.B shows why: the regime flip in return cancels in the unconditional average.</w:t>
      </w:r>
    </w:p>
    <w:p>
      <w:pPr>
        <w:spacing w:after="120"/>
      </w:pPr>
      <w:r>
        <w:rPr>
          <w:b/>
          <w:bCs/>
        </w:rPr>
        <w:t xml:space="preserve">Per-universe tables:</w:t>
      </w:r>
    </w:p>
    <w:p>
      <w:pPr>
        <w:shd w:fill="F2F2F2" w:val="clear"/>
        <w:spacing w:after="120" w:before="120"/>
        <w:ind w:left="360" w:right="360"/>
      </w:pPr>
      <w:r>
        <w:rPr>
          <w:i/>
          <w:iCs/>
          <w:color w:val="808080"/>
        </w:rPr>
        <w:t xml:space="preserve">[Insert existing per-universe tables: SPX, MXEA, MXWO, MXEF, MXAP — Sub-Theme L/S Performance (Baseline vs PMOM Neut)]</w:t>
      </w:r>
    </w:p>
    <w:p>
      <w:pPr>
        <w:spacing w:after="120"/>
      </w:pPr>
      <w:r>
        <w:t xml:space="preserve">The cross-universe pattern is consistent: in every universe, Earnings_Value is the factor with the largest IR improvement (between +0.04 and +0.08).</w:t>
      </w:r>
    </w:p>
    <w:p>
      <w:pPr>
        <w:pBdr>
          <w:bottom w:val="single" w:color="B0B0B0" w:sz="6" w:space="1"/>
        </w:pBdr>
        <w:spacing w:after="240" w:before="240"/>
      </w:pPr>
      <w:r>
        <w:t xml:space="preserve"/>
      </w:r>
    </w:p>
    <w:p>
      <w:pPr>
        <w:pStyle w:val="Heading2"/>
      </w:pPr>
      <w:r>
        <w:t xml:space="preserve">2.B — Conditional on DD state</w:t>
      </w:r>
    </w:p>
    <w:p>
      <w:pPr>
        <w:spacing w:after="120"/>
      </w:pPr>
      <w:r>
        <w:t xml:space="preserve">This is where the theory becomes visible.</w:t>
      </w:r>
    </w:p>
    <w:p>
      <w:pPr>
        <w:spacing w:after="120"/>
      </w:pPr>
      <w:r>
        <w:rPr>
          <w:b/>
          <w:bCs/>
        </w:rPr>
        <w:t xml:space="preserve">Average across universes:</w:t>
      </w:r>
    </w:p>
    <w:p>
      <w:pPr>
        <w:shd w:fill="F2F2F2" w:val="clear"/>
        <w:spacing w:after="120" w:before="120"/>
        <w:ind w:left="360" w:right="360"/>
      </w:pPr>
      <w:r>
        <w:rPr>
          <w:i/>
          <w:iCs/>
          <w:color w:val="808080"/>
        </w:rPr>
        <w:t xml:space="preserve">[Insert existing table: Cross-Universe Mean — L/S Performance by DD State (Baseline vs PMOM Neut)]</w:t>
      </w:r>
    </w:p>
    <w:p>
      <w:pPr>
        <w:spacing w:after="120"/>
      </w:pPr>
      <w:r>
        <w:rPr>
          <w:b/>
          <w:bCs/>
        </w:rPr>
        <w:t xml:space="preserve">Earnings_Value:</w:t>
      </w:r>
    </w:p>
    <w:p>
      <w:pPr>
        <w:pStyle w:val="ListParagraph"/>
        <w:numPr>
          <w:ilvl w:val="0"/>
          <w:numId w:val="2"/>
        </w:numPr>
        <w:spacing w:after="80"/>
      </w:pPr>
      <w:r>
        <w:rPr>
          <w:b/>
          <w:bCs/>
        </w:rPr>
        <w:t xml:space="preserve">Low DD: </w:t>
      </w:r>
      <w:r>
        <w:t xml:space="preserve">return +22 bps, vol −42 bps, IR </w:t>
      </w:r>
      <w:r>
        <w:rPr>
          <w:b/>
          <w:bCs/>
        </w:rPr>
        <w:t xml:space="preserve">+0.10</w:t>
      </w:r>
      <w:r>
        <w:t xml:space="preserve">. The improvement comes from both higher return and lower vol.</w:t>
      </w:r>
    </w:p>
    <w:p>
      <w:pPr>
        <w:pStyle w:val="ListParagraph"/>
        <w:numPr>
          <w:ilvl w:val="0"/>
          <w:numId w:val="2"/>
        </w:numPr>
        <w:spacing w:after="80"/>
      </w:pPr>
      <w:r>
        <w:rPr>
          <w:b/>
          <w:bCs/>
        </w:rPr>
        <w:t xml:space="preserve">High DD: </w:t>
      </w:r>
      <w:r>
        <w:t xml:space="preserve">return −8 bps, IR </w:t>
      </w:r>
      <w:r>
        <w:rPr>
          <w:b/>
          <w:bCs/>
        </w:rPr>
        <w:t xml:space="preserve">−0.07</w:t>
      </w:r>
      <w:r>
        <w:t xml:space="preserve">. Neutralization removes the anti-PMOM hedge that helped Baseline EV in this regime.</w:t>
      </w:r>
    </w:p>
    <w:p>
      <w:pPr>
        <w:pStyle w:val="ListParagraph"/>
        <w:numPr>
          <w:ilvl w:val="0"/>
          <w:numId w:val="2"/>
        </w:numPr>
        <w:spacing w:after="80"/>
      </w:pPr>
      <w:r>
        <w:rPr>
          <w:b/>
          <w:bCs/>
        </w:rPr>
        <w:t xml:space="preserve">Sign consistency: </w:t>
      </w:r>
      <w:r>
        <w:t xml:space="preserve">the direction (Low DD positive, High DD negative) holds in </w:t>
      </w:r>
      <w:r>
        <w:rPr>
          <w:b/>
          <w:bCs/>
        </w:rPr>
        <w:t xml:space="preserve">every universe</w:t>
      </w:r>
      <w:r>
        <w:t xml:space="preserve">. This is the strongest cross-universe finding in the document.</w:t>
      </w:r>
    </w:p>
    <w:p>
      <w:pPr>
        <w:spacing w:after="120"/>
      </w:pPr>
      <w:r>
        <w:t xml:space="preserve">This is the regime flip the theory predicts. The unconditional +0.06 IR from 2.A is the average of a +0.10 benefit in Low DD and a −0.07 cost in High DD — the regimes are pulling in opposite directions, which is why the full-sample picture looks modest.</w:t>
      </w:r>
    </w:p>
    <w:p>
      <w:pPr>
        <w:spacing w:after="120"/>
      </w:pPr>
      <w:r>
        <w:rPr>
          <w:b/>
          <w:bCs/>
        </w:rPr>
        <w:t xml:space="preserve">Value (super factor):</w:t>
      </w:r>
    </w:p>
    <w:p>
      <w:pPr>
        <w:pStyle w:val="ListParagraph"/>
        <w:numPr>
          <w:ilvl w:val="0"/>
          <w:numId w:val="2"/>
        </w:numPr>
        <w:spacing w:after="80"/>
      </w:pPr>
      <w:r>
        <w:t xml:space="preserve">Low DD: IR +0.06. High DD: IR −0.03.</w:t>
      </w:r>
    </w:p>
    <w:p>
      <w:pPr>
        <w:pStyle w:val="ListParagraph"/>
        <w:numPr>
          <w:ilvl w:val="0"/>
          <w:numId w:val="2"/>
        </w:numPr>
        <w:spacing w:after="80"/>
      </w:pPr>
      <w:r>
        <w:t xml:space="preserve">Directionally identical to Earnings_Value but smaller in magnitude. EV is 37.5% of Value, and Value inherits EV’s anti-PMOM exposure at roughly that weight share, diluted by FCF_Value and TYTD2EV1Y, which carry little anti-PMOM exposure (Section 1). Value is essentially a diluted version of the EV pattern.</w:t>
      </w:r>
    </w:p>
    <w:p>
      <w:pPr>
        <w:spacing w:after="120"/>
      </w:pPr>
      <w:r>
        <w:rPr>
          <w:b/>
          <w:bCs/>
        </w:rPr>
        <w:t xml:space="preserve">Other factor themes (FCF_Value, TYTD2EV1Y, Profit, Investment, Quality):</w:t>
      </w:r>
    </w:p>
    <w:p>
      <w:pPr>
        <w:pStyle w:val="ListParagraph"/>
        <w:numPr>
          <w:ilvl w:val="0"/>
          <w:numId w:val="2"/>
        </w:numPr>
        <w:spacing w:after="80"/>
      </w:pPr>
      <w:r>
        <w:t xml:space="preserve">No regime flip. IR changes are small (within ±0.05) and not consistent in sign across regimes.</w:t>
      </w:r>
    </w:p>
    <w:p>
      <w:pPr>
        <w:pStyle w:val="ListParagraph"/>
        <w:numPr>
          <w:ilvl w:val="0"/>
          <w:numId w:val="2"/>
        </w:numPr>
        <w:spacing w:after="80"/>
      </w:pPr>
      <w:r>
        <w:t xml:space="preserve">This is supporting evidence for the theory, not a counter-example. Factors without a structural anti-PMOM tilt don’t have a contamination to remove. Neutralization adds noise rather than signal in both regimes.</w:t>
      </w:r>
    </w:p>
    <w:p>
      <w:pPr>
        <w:spacing w:after="120"/>
      </w:pPr>
      <w:r>
        <w:rPr>
          <w:b/>
          <w:bCs/>
        </w:rPr>
        <w:t xml:space="preserve">Per-universe tables:</w:t>
      </w:r>
    </w:p>
    <w:p>
      <w:pPr>
        <w:shd w:fill="F2F2F2" w:val="clear"/>
        <w:spacing w:after="120" w:before="120"/>
        <w:ind w:left="360" w:right="360"/>
      </w:pPr>
      <w:r>
        <w:rPr>
          <w:i/>
          <w:iCs/>
          <w:color w:val="808080"/>
        </w:rPr>
        <w:t xml:space="preserve">[Insert existing per-universe tables: SPX, MXEA, MXWO, MXEF, MXAP — L/S Performance by DD State (Baseline vs PMOM Neut)]</w:t>
      </w:r>
    </w:p>
    <w:p>
      <w:pPr>
        <w:spacing w:after="120"/>
      </w:pPr>
      <w:r>
        <w:t xml:space="preserve">The Earnings_Value Low-DD IR improvement is positive in every universe (between +0.06 and +0.16). The High-DD IR change is negative in every universe (between −0.20 and 0.00). The regime flip holds without exception.</w:t>
      </w:r>
    </w:p>
    <w:p>
      <w:pPr>
        <w:pBdr>
          <w:bottom w:val="single" w:color="B0B0B0" w:sz="6" w:space="1"/>
        </w:pBdr>
        <w:spacing w:after="240" w:before="240"/>
      </w:pPr>
      <w:r>
        <w:t xml:space="preserve"/>
      </w:r>
    </w:p>
    <w:p>
      <w:pPr>
        <w:pStyle w:val="Heading2"/>
      </w:pPr>
      <w:r>
        <w:t xml:space="preserve">Section 2 summary</w:t>
      </w:r>
    </w:p>
    <w:p>
      <w:pPr>
        <w:spacing w:after="120"/>
      </w:pPr>
      <w:r>
        <w:t xml:space="preserve">Section 2 confirms Matt’s April hypothesis at the factor-theme level. PMOM-neut on Earnings_Value produces the predicted regime flip:</w:t>
      </w:r>
    </w:p>
    <w:p>
      <w:pPr>
        <w:pStyle w:val="ListParagraph"/>
        <w:numPr>
          <w:ilvl w:val="0"/>
          <w:numId w:val="2"/>
        </w:numPr>
        <w:spacing w:after="80"/>
      </w:pPr>
      <w:r>
        <w:rPr>
          <w:b w:val="false"/>
          <w:bCs w:val="false"/>
        </w:rPr>
        <w:t xml:space="preserve">Low DD: IR +0.10 cross-universe, sign-consistent across every universe — the predicted benefit when PMOM is rewarded.</w:t>
      </w:r>
    </w:p>
    <w:p>
      <w:pPr>
        <w:pStyle w:val="ListParagraph"/>
        <w:numPr>
          <w:ilvl w:val="0"/>
          <w:numId w:val="2"/>
        </w:numPr>
        <w:spacing w:after="80"/>
      </w:pPr>
      <w:r>
        <w:rPr>
          <w:b w:val="false"/>
          <w:bCs w:val="false"/>
        </w:rPr>
        <w:t xml:space="preserve">High DD: IR −0.07 cross-universe, sign-consistent across every universe — the predicted cost when PMOM’s anti-tilt becomes a hedge that we remove.</w:t>
      </w:r>
    </w:p>
    <w:p>
      <w:pPr>
        <w:spacing w:after="120"/>
      </w:pPr>
      <w:r>
        <w:t xml:space="preserve">Value as a super factor shows the same pattern at a diluted magnitude (Low DD +0.06, High DD −0.03), consistent with EV being a 37.5% component carrying most of the anti-PMOM signal. Other factor themes show no regime flip, consistent with their lack of a structural anti-PMOM tilt.</w:t>
      </w:r>
    </w:p>
    <w:p>
      <w:pPr>
        <w:spacing w:after="120"/>
      </w:pPr>
      <w:r>
        <w:t xml:space="preserve">The unconditional +0.06 IR improvement reported in 2.A is the average of these two opposing effects. The regime flip is the theory’s strongest signature, and averaging across regimes washes most of it out.</w:t>
      </w:r>
    </w:p>
    <w:p>
      <w:pPr>
        <w:spacing w:after="120"/>
      </w:pPr>
      <w:r>
        <w:rPr>
          <w:b/>
          <w:bCs/>
        </w:rPr>
        <w:t xml:space="preserve">Implementation implication: </w:t>
      </w:r>
      <w:r>
        <w:t xml:space="preserve">the regime flip argues for </w:t>
      </w:r>
      <w:r>
        <w:rPr>
          <w:b/>
          <w:bCs/>
        </w:rPr>
        <w:t xml:space="preserve">regime-conditional</w:t>
      </w:r>
      <w:r>
        <w:t xml:space="preserve"> application of PMOM-neut rather than always-on. Applied only in Low DD, PMOM-neut keeps the +0.10 IR benefit on EV without paying the −0.07 IR cost in High DD. Always-on neutralization pays both, partially canceling itself. Detailed implementation design (DD threshold, transition behavior) is for follow-up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2026-05-19T22:21:43.397Z</dcterms:created>
  <dcterms:modified xsi:type="dcterms:W3CDTF">2026-05-19T22:21:43.417Z</dcterms:modified>
</cp:coreProperties>
</file>

<file path=docProps/custom.xml><?xml version="1.0" encoding="utf-8"?>
<Properties xmlns="http://schemas.openxmlformats.org/officeDocument/2006/custom-properties" xmlns:vt="http://schemas.openxmlformats.org/officeDocument/2006/docPropsVTypes"/>
</file>