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Section 3 — working notes</w:t>
      </w:r>
    </w:p>
    <w:p>
      <w:pPr>
        <w:spacing w:after="120"/>
      </w:pPr>
      <w:r>
        <w:t xml:space="preserve">Same pattern as before. </w:t>
      </w:r>
      <w:r>
        <w:rPr>
          <w:b/>
          <w:bCs/>
        </w:rPr>
        <w:t xml:space="preserve">Part A</w:t>
      </w:r>
      <w:r>
        <w:t xml:space="preserve"> explains the V/M overlap mechanism for your own understanding — the deeper answer to why factor-theme vol falls while WFC composite vol rises. We agreed not to put this in the Matt-facing version. After reading, you may decide you want some of it back; the section is structured so blocks can be pulled in if you change your mind. </w:t>
      </w:r>
      <w:r>
        <w:rPr>
          <w:b/>
          <w:bCs/>
        </w:rPr>
        <w:t xml:space="preserve">Part B</w:t>
      </w:r>
      <w:r>
        <w:t xml:space="preserve"> is the Section 3 ready to paste, with light dilution-only framing.</w:t>
      </w:r>
    </w:p>
    <w:p>
      <w:pPr>
        <w:pStyle w:val="Heading1"/>
      </w:pPr>
      <w:r>
        <w:t xml:space="preserve">Part A — The V/M overlap mechanism (for your understanding)</w:t>
      </w:r>
    </w:p>
    <w:p>
      <w:pPr>
        <w:pStyle w:val="Heading2"/>
      </w:pPr>
      <w:r>
        <w:t xml:space="preserve">The counter-intuitive observation</w:t>
      </w:r>
    </w:p>
    <w:p>
      <w:pPr>
        <w:spacing w:after="120"/>
      </w:pPr>
      <w:r>
        <w:t xml:space="preserve">PMOM-neut on Earnings_Value lowers EV’s factor-theme vol (−37 bps full-sample, −42 bps Low DD). The same neutralization, applied inside the WFC composite as WFC[EV], slightly </w:t>
      </w:r>
      <w:r>
        <w:rPr>
          <w:b/>
          <w:bCs/>
        </w:rPr>
        <w:t xml:space="preserve">raises</w:t>
      </w:r>
      <w:r>
        <w:t xml:space="preserve"> WFC vol (+4 bps Low DD cross-universe, larger in some universes). Same neutralization, opposite direction at different levels of aggregation. Worth unpacking.</w:t>
      </w:r>
    </w:p>
    <w:p>
      <w:pPr>
        <w:pStyle w:val="Heading2"/>
      </w:pPr>
      <w:r>
        <w:t xml:space="preserve">Why EV factor-theme vol goes down</w:t>
      </w:r>
    </w:p>
    <w:p>
      <w:pPr>
        <w:spacing w:after="120"/>
      </w:pPr>
      <w:r>
        <w:t xml:space="preserve">EV’s baseline L/S portfolio held some positions specifically driven by the anti-PMOM tilt: stocks that ranked cheap on EV partly because their price had fallen. Removing the anti-PMOM component of the score removes those positions specifically. Fewer extreme positions, less cross-sectional dispersion in active weights, lower portfolio vol. This is the expected direct effect of PMOM-neut on a factor that had a structural anti-PMOM tilt.</w:t>
      </w:r>
    </w:p>
    <w:p>
      <w:pPr>
        <w:pStyle w:val="Heading2"/>
      </w:pPr>
      <w:r>
        <w:t xml:space="preserve">Why WFC composite vol goes up</w:t>
      </w:r>
    </w:p>
    <w:p>
      <w:pPr>
        <w:spacing w:after="120"/>
      </w:pPr>
      <w:r>
        <w:t xml:space="preserve">At the composite level, EV’s positions don’t live in isolation. They sit alongside Momentum’s positions in the same WFC. Baseline EV is anti-Momentum: on stocks where M says “long winner,” EV often says “short winner (now expensive).” Those opposing positions partially cancel at the WFC active-weight level. The cancellation is a free vol reduction baked into the Baseline WFC architecture.</w:t>
      </w:r>
    </w:p>
    <w:p>
      <w:pPr>
        <w:spacing w:after="120"/>
      </w:pPr>
      <w:r>
        <w:t xml:space="preserve">Now apply PMOM-neut to EV. EV’s positions on those same stocks shift: the anti-M component is removed, so EV no longer takes the opposing position to M. The M-driven WFC position is no longer partially offset by the EV-driven one. The composite holds bigger net positions on those stocks than it did before. Bigger net positions = more composite vol.</w:t>
      </w:r>
    </w:p>
    <w:p>
      <w:pPr>
        <w:pStyle w:val="Heading2"/>
      </w:pPr>
      <w:r>
        <w:t xml:space="preserve">Why both effects are real but the second wins at the WFC level</w:t>
      </w:r>
    </w:p>
    <w:p>
      <w:pPr>
        <w:spacing w:after="120"/>
      </w:pPr>
      <w:r>
        <w:t xml:space="preserve">Two opposing forces at the composite level:</w:t>
      </w:r>
    </w:p>
    <w:p>
      <w:pPr>
        <w:pStyle w:val="ListParagraph"/>
        <w:numPr>
          <w:ilvl w:val="0"/>
          <w:numId w:val="2"/>
        </w:numPr>
        <w:spacing w:after="80"/>
      </w:pPr>
      <w:r>
        <w:rPr>
          <w:b/>
          <w:bCs/>
        </w:rPr>
        <w:t xml:space="preserve">Direct effect: </w:t>
      </w:r>
      <w:r>
        <w:t xml:space="preserve">EV’s own vol contribution goes down (the factor-theme effect, ~−42 bps on EV vol).</w:t>
      </w:r>
    </w:p>
    <w:p>
      <w:pPr>
        <w:pStyle w:val="ListParagraph"/>
        <w:numPr>
          <w:ilvl w:val="0"/>
          <w:numId w:val="2"/>
        </w:numPr>
        <w:spacing w:after="80"/>
      </w:pPr>
      <w:r>
        <w:rPr>
          <w:b/>
          <w:bCs/>
        </w:rPr>
        <w:t xml:space="preserve">Overlap effect: </w:t>
      </w:r>
      <w:r>
        <w:t xml:space="preserve">the lost cancellation against M lets M-driven positions in the WFC grow larger, raising composite vol.</w:t>
      </w:r>
    </w:p>
    <w:p>
      <w:pPr>
        <w:spacing w:after="120"/>
      </w:pPr>
      <w:r>
        <w:t xml:space="preserve">Which effect wins depends on the magnitudes. The direct effect operates on EV’s ~12.5% slice of the composite. The overlap effect operates on the interaction between EV and M, where M is a 33% leg of the WFC. The bigger lever wins. In your data, the overlap effect dominates slightly (composite vol +4 bps cross-universe).</w:t>
      </w:r>
    </w:p>
    <w:p>
      <w:pPr>
        <w:spacing w:after="120"/>
      </w:pPr>
      <w:r>
        <w:t xml:space="preserve">This is not counter-intuitive once you see that factor-theme vol and composite vol measure different things with different mechanisms. It is perfectly consistent for factor vol to drop while composite vol rises, when the factor was part of a composite that relied on the factor’s anti-correlation with another part for risk reduction.</w:t>
      </w:r>
    </w:p>
    <w:p>
      <w:pPr>
        <w:pStyle w:val="Heading2"/>
      </w:pPr>
      <w:r>
        <w:t xml:space="preserve">Why we are keeping this out of the Matt-facing version</w:t>
      </w:r>
    </w:p>
    <w:p>
      <w:pPr>
        <w:spacing w:after="120"/>
      </w:pPr>
      <w:r>
        <w:t xml:space="preserve">The dilution argument (EV is ~12.5% of WFC, so a +0.10 IR effect at EV becomes ~+0.012 IR at WFC) is sufficient to explain why the result doesn’t scale up. It’s honest, defensible, and doesn’t require Matt to engage with risk-model intuition during a first read.</w:t>
      </w:r>
    </w:p>
    <w:p>
      <w:pPr>
        <w:spacing w:after="120"/>
      </w:pPr>
      <w:r>
        <w:t xml:space="preserve">The V/M overlap mechanism is a stronger and more specific explanation, but it raises follow-on questions about WFC architecture that we haven’t fully worked through. Saving it for follow-up discussion is the safer move. If Matt asks why composite vol moves the wrong direction, this is where the answer lives.</w:t>
      </w:r>
    </w:p>
    <w:p>
      <w:r>
        <w:br w:type="page"/>
      </w:r>
    </w:p>
    <w:p>
      <w:pPr>
        <w:pStyle w:val="Heading1"/>
      </w:pPr>
      <w:r>
        <w:t xml:space="preserve">Part B — Section 3, ready to paste</w:t>
      </w:r>
    </w:p>
    <w:p>
      <w:pPr>
        <w:pBdr>
          <w:bottom w:val="single" w:color="B0B0B0" w:sz="6" w:space="1"/>
        </w:pBdr>
        <w:spacing w:after="240" w:before="240"/>
      </w:pPr>
      <w:r>
        <w:t xml:space="preserve"/>
      </w:r>
    </w:p>
    <w:p>
      <w:pPr>
        <w:pStyle w:val="Heading1"/>
      </w:pPr>
      <w:r>
        <w:t xml:space="preserve">3 WFC performance with/without PMOM neutralization</w:t>
      </w:r>
    </w:p>
    <w:p>
      <w:pPr>
        <w:spacing w:after="120"/>
      </w:pPr>
      <w:r>
        <w:t xml:space="preserve">Section 2 confirmed Matt’s hypothesis at the factor-theme level: PMOM-neut on Earnings_Value produces the predicted regime flip (Low DD IR +0.10, High DD IR −0.07, sign-consistent across universes). Section 3 asks whether this factor-theme finding propagates to the Weighted Factor Composite — the level we actually combine for portfolio construction.</w:t>
      </w:r>
    </w:p>
    <w:p>
      <w:pPr>
        <w:pStyle w:val="Heading2"/>
      </w:pPr>
      <w:r>
        <w:t xml:space="preserve">Variants tested</w:t>
      </w:r>
    </w:p>
    <w:p>
      <w:pPr>
        <w:pStyle w:val="ListParagraph"/>
        <w:numPr>
          <w:ilvl w:val="0"/>
          <w:numId w:val="2"/>
        </w:numPr>
        <w:spacing w:after="80"/>
      </w:pPr>
      <w:r>
        <w:rPr>
          <w:b/>
          <w:bCs/>
        </w:rPr>
        <w:t xml:space="preserve">Baseline</w:t>
      </w:r>
      <w:r>
        <w:t xml:space="preserve">: 1/3 static weight on each super factor theme. No neutralization.</w:t>
      </w:r>
    </w:p>
    <w:p>
      <w:pPr>
        <w:pStyle w:val="ListParagraph"/>
        <w:numPr>
          <w:ilvl w:val="0"/>
          <w:numId w:val="2"/>
        </w:numPr>
        <w:spacing w:after="80"/>
      </w:pPr>
      <w:r>
        <w:rPr>
          <w:b/>
          <w:bCs/>
        </w:rPr>
        <w:t xml:space="preserve">WFC[V·Q]</w:t>
      </w:r>
      <w:r>
        <w:t xml:space="preserve">: Baseline weights, Quality and Value both PMOM-neutralized (and their sub-factors at every level).</w:t>
      </w:r>
    </w:p>
    <w:p>
      <w:pPr>
        <w:pStyle w:val="ListParagraph"/>
        <w:numPr>
          <w:ilvl w:val="0"/>
          <w:numId w:val="2"/>
        </w:numPr>
        <w:spacing w:after="80"/>
      </w:pPr>
      <w:r>
        <w:rPr>
          <w:b/>
          <w:bCs/>
        </w:rPr>
        <w:t xml:space="preserve">WFC[V]</w:t>
      </w:r>
      <w:r>
        <w:t xml:space="preserve">: Baseline weights, Value only PMOM-neutralized (Quality stays Baseline).</w:t>
      </w:r>
    </w:p>
    <w:p>
      <w:pPr>
        <w:pStyle w:val="ListParagraph"/>
        <w:numPr>
          <w:ilvl w:val="0"/>
          <w:numId w:val="2"/>
        </w:numPr>
        <w:spacing w:after="80"/>
      </w:pPr>
      <w:r>
        <w:rPr>
          <w:b/>
          <w:bCs/>
        </w:rPr>
        <w:t xml:space="preserve">WFC[EV]</w:t>
      </w:r>
      <w:r>
        <w:t xml:space="preserve">: Baseline weights, Earnings_Value only PMOM-neutralized (FCF_Value, TYTD2EV1Y, Quality stay Baseline).</w:t>
      </w:r>
    </w:p>
    <w:p>
      <w:pPr>
        <w:spacing w:after="120"/>
      </w:pPr>
      <w:r>
        <w:t xml:space="preserve">Static 1/3 weights, no DD-timing, to isolate the effect of neutralization itself.</w:t>
      </w:r>
    </w:p>
    <w:p>
      <w:pPr>
        <w:pStyle w:val="Heading2"/>
      </w:pPr>
      <w:r>
        <w:t xml:space="preserve">Results conditional on DD state</w:t>
      </w:r>
    </w:p>
    <w:p>
      <w:pPr>
        <w:spacing w:after="120"/>
      </w:pPr>
      <w:r>
        <w:rPr>
          <w:b/>
          <w:bCs/>
        </w:rPr>
        <w:t xml:space="preserve">Average across universes:</w:t>
      </w:r>
    </w:p>
    <w:p>
      <w:pPr>
        <w:shd w:fill="F2F2F2" w:val="clear"/>
        <w:spacing w:after="120" w:before="120"/>
        <w:ind w:left="360" w:right="360"/>
      </w:pPr>
      <w:r>
        <w:rPr>
          <w:i/>
          <w:iCs/>
          <w:color w:val="808080"/>
        </w:rPr>
        <w:t xml:space="preserve">[Insert existing table: Cross-Universe Mean — WFC Variants by DD State]</w:t>
      </w:r>
    </w:p>
    <w:p>
      <w:pPr>
        <w:spacing w:after="120"/>
      </w:pPr>
      <w:r>
        <w:rPr>
          <w:b/>
          <w:bCs/>
        </w:rPr>
        <w:t xml:space="preserve">Cross-universe IR changes:</w:t>
      </w:r>
    </w:p>
    <w:p>
      <w:pPr>
        <w:pStyle w:val="ListParagraph"/>
        <w:numPr>
          <w:ilvl w:val="0"/>
          <w:numId w:val="2"/>
        </w:numPr>
        <w:spacing w:after="80"/>
      </w:pPr>
      <w:r>
        <w:rPr>
          <w:b/>
          <w:bCs/>
        </w:rPr>
        <w:t xml:space="preserve">WFC[V·Q]</w:t>
      </w:r>
      <w:r>
        <w:t xml:space="preserve">: Low DD −0.02, High DD +0.02.</w:t>
      </w:r>
    </w:p>
    <w:p>
      <w:pPr>
        <w:pStyle w:val="ListParagraph"/>
        <w:numPr>
          <w:ilvl w:val="0"/>
          <w:numId w:val="2"/>
        </w:numPr>
        <w:spacing w:after="80"/>
      </w:pPr>
      <w:r>
        <w:rPr>
          <w:b/>
          <w:bCs/>
        </w:rPr>
        <w:t xml:space="preserve">WFC[V]</w:t>
      </w:r>
      <w:r>
        <w:t xml:space="preserve">: Low DD −0.01, High DD −0.01.</w:t>
      </w:r>
    </w:p>
    <w:p>
      <w:pPr>
        <w:pStyle w:val="ListParagraph"/>
        <w:numPr>
          <w:ilvl w:val="0"/>
          <w:numId w:val="2"/>
        </w:numPr>
        <w:spacing w:after="80"/>
      </w:pPr>
      <w:r>
        <w:rPr>
          <w:b/>
          <w:bCs/>
        </w:rPr>
        <w:t xml:space="preserve">WFC[EV]</w:t>
      </w:r>
      <w:r>
        <w:t xml:space="preserve">: Low DD −0.01, High DD −0.03. In Low DD, return is +5 bps and vol is +4 bps, leaving IR essentially flat.</w:t>
      </w:r>
    </w:p>
    <w:p>
      <w:pPr>
        <w:spacing w:after="120"/>
      </w:pPr>
      <w:r>
        <w:t xml:space="preserve">The pattern is clear: at the WFC level, none of the three variants delivers a meaningful IR improvement in either regime. The Section 2 factor-theme finding does not propagate to the composite.</w:t>
      </w:r>
    </w:p>
    <w:p>
      <w:pPr>
        <w:spacing w:after="120"/>
      </w:pPr>
      <w:r>
        <w:rPr>
          <w:b/>
          <w:bCs/>
        </w:rPr>
        <w:t xml:space="preserve">Per-universe tables:</w:t>
      </w:r>
    </w:p>
    <w:p>
      <w:pPr>
        <w:shd w:fill="F2F2F2" w:val="clear"/>
        <w:spacing w:after="120" w:before="120"/>
        <w:ind w:left="360" w:right="360"/>
      </w:pPr>
      <w:r>
        <w:rPr>
          <w:i/>
          <w:iCs/>
          <w:color w:val="808080"/>
        </w:rPr>
        <w:t xml:space="preserve">[Insert existing per-universe tables: SPX, MXEA, MXWO, MXEF, MXAP — WFC Variants by DD State]</w:t>
      </w:r>
    </w:p>
    <w:p>
      <w:pPr>
        <w:spacing w:after="120"/>
      </w:pPr>
      <w:r>
        <w:t xml:space="preserve">The pattern is consistent across universes — small, mixed, and within the noise floor of the cross-universe estimate.</w:t>
      </w:r>
    </w:p>
    <w:p>
      <w:pPr>
        <w:pStyle w:val="Heading2"/>
      </w:pPr>
      <w:r>
        <w:t xml:space="preserve">Why the factor-theme finding does not scale up</w:t>
      </w:r>
    </w:p>
    <w:p>
      <w:pPr>
        <w:spacing w:after="120"/>
      </w:pPr>
      <w:r>
        <w:t xml:space="preserve">The simple answer is dilution. Earnings_Value is roughly 12.5% of the WFC (37.5% within Value, then 33% within the WFC). Even a clean +0.10 IR effect at the EV factor-theme level becomes a ~+0.012 IR effect at the WFC level when scaled by that share — well within the noise floor of the cross-universe IR estimate.</w:t>
      </w:r>
    </w:p>
    <w:p>
      <w:pPr>
        <w:spacing w:after="120"/>
      </w:pPr>
      <w:r>
        <w:t xml:space="preserve">The cross-variant progression supports this. WFC[V·Q] neutralizes the most and performs worst; WFC[V] neutralizes less and is essentially flat; WFC[EV] neutralizes the least and shows the small theory-predicted return improvement in Low DD (+5 bps) without translating to IR. The more neutralization is applied at levels above the structural source (EV), the more damage is done relative to the underlying signal that’s actually there to remove. WFC[V·Q] is the most aggressive variant; the additional neutralization of Quality, which Section 2 showed has no structural anti-PMOM tilt to remove, contributes no signal and explains why it performs worst.</w:t>
      </w:r>
    </w:p>
    <w:p>
      <w:pPr>
        <w:pBdr>
          <w:bottom w:val="single" w:color="B0B0B0" w:sz="6" w:space="1"/>
        </w:pBdr>
        <w:spacing w:after="240" w:before="240"/>
      </w:pPr>
      <w:r>
        <w:t xml:space="preserve"/>
      </w:r>
    </w:p>
    <w:p>
      <w:pPr>
        <w:pStyle w:val="Heading2"/>
      </w:pPr>
      <w:r>
        <w:t xml:space="preserve">Section 3 summary</w:t>
      </w:r>
    </w:p>
    <w:p>
      <w:pPr>
        <w:spacing w:after="120"/>
      </w:pPr>
      <w:r>
        <w:t xml:space="preserve">The factor-theme finding from Section 2 is real and theory-consistent. It does not propagate cleanly to the WFC composite because EV represents only ~12.5% of the WFC by weight, scaling the +0.10 IR factor-theme effect down to ~+0.012 IR at the composite — indistinguishable from noise.</w:t>
      </w:r>
    </w:p>
    <w:p>
      <w:pPr>
        <w:spacing w:after="120"/>
      </w:pPr>
      <w:r>
        <w:t xml:space="preserve">Capturing the factor-theme finding at the WFC level would require changes beyond the score-level neutralization tested here. Two natural paths for follow-up work:</w:t>
      </w:r>
    </w:p>
    <w:p>
      <w:pPr>
        <w:pStyle w:val="ListParagraph"/>
        <w:numPr>
          <w:ilvl w:val="0"/>
          <w:numId w:val="2"/>
        </w:numPr>
        <w:spacing w:after="80"/>
      </w:pPr>
      <w:r>
        <w:rPr>
          <w:b/>
          <w:bCs/>
        </w:rPr>
        <w:t xml:space="preserve">Re-architect the WFC</w:t>
      </w:r>
      <w:r>
        <w:t xml:space="preserve"> so the contribution of each super factor is sized independently — for example, running separate optimizations per leg and combining at the position level, or adding explicit risk budgets per leg in the composite optimization. This makes the EV-level signal stand on its own rather than being averaged into a static 1/3 weight.</w:t>
      </w:r>
    </w:p>
    <w:p>
      <w:pPr>
        <w:pStyle w:val="ListParagraph"/>
        <w:numPr>
          <w:ilvl w:val="0"/>
          <w:numId w:val="2"/>
        </w:numPr>
        <w:spacing w:after="80"/>
      </w:pPr>
      <w:r>
        <w:rPr>
          <w:b/>
          <w:bCs/>
        </w:rPr>
        <w:t xml:space="preserve">Apply neutralization downstream of the composite</w:t>
      </w:r>
      <w:r>
        <w:t xml:space="preserve"> rather than upstream in the score — for example, modifying the resulting WFC active weights to remove residual PMOM exposure post-optimization, or using a regime-conditional rule that selects Baseline vs PMOM-neut composites based on DD state.</w:t>
      </w:r>
    </w:p>
    <w:p>
      <w:pPr>
        <w:spacing w:after="120"/>
      </w:pPr>
      <w:r>
        <w:t xml:space="preserve">Both are open questions. For the immediate decision, the takeaway is: the factor-theme finding (Section 2) is the actionable result; the WFC composite implementation is an open architectural question.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2026-05-19T23:55:14.926Z</dcterms:created>
  <dcterms:modified xsi:type="dcterms:W3CDTF">2026-05-19T23:55:14.939Z</dcterms:modified>
</cp:coreProperties>
</file>

<file path=docProps/custom.xml><?xml version="1.0" encoding="utf-8"?>
<Properties xmlns="http://schemas.openxmlformats.org/officeDocument/2006/custom-properties" xmlns:vt="http://schemas.openxmlformats.org/officeDocument/2006/docPropsVTypes"/>
</file>