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pPr>
      <w:r>
        <w:rPr>
          <w:rFonts w:ascii="Arial" w:cs="Arial" w:eastAsia="Arial" w:hAnsi="Arial"/>
          <w:b/>
          <w:bCs/>
          <w:color w:val="1F4E79"/>
          <w:sz w:val="40"/>
          <w:szCs w:val="40"/>
        </w:rPr>
        <w:t xml:space="preserve">Section 3 — working notes</w:t>
      </w:r>
    </w:p>
    <w:p>
      <w:pPr>
        <w:spacing w:after="80" w:before="80"/>
      </w:pPr>
      <w:r>
        <w:rPr>
          <w:rFonts w:ascii="Arial" w:cs="Arial" w:eastAsia="Arial" w:hAnsi="Arial"/>
          <w:b w:val="false"/>
          <w:bCs w:val="false"/>
          <w:i w:val="false"/>
          <w:iCs w:val="false"/>
          <w:sz w:val="22"/>
          <w:szCs w:val="22"/>
        </w:rPr>
        <w:t xml:space="preserve">Same structure as Sections 1 and 2. </w:t>
      </w:r>
      <w:r>
        <w:rPr>
          <w:rFonts w:ascii="Arial" w:cs="Arial" w:eastAsia="Arial" w:hAnsi="Arial"/>
          <w:b/>
          <w:bCs/>
          <w:i w:val="false"/>
          <w:iCs w:val="false"/>
          <w:sz w:val="22"/>
          <w:szCs w:val="22"/>
        </w:rPr>
        <w:t xml:space="preserve">Part A</w:t>
      </w:r>
      <w:r>
        <w:rPr>
          <w:rFonts w:ascii="Arial" w:cs="Arial" w:eastAsia="Arial" w:hAnsi="Arial"/>
          <w:b w:val="false"/>
          <w:bCs w:val="false"/>
          <w:i w:val="false"/>
          <w:iCs w:val="false"/>
          <w:sz w:val="22"/>
          <w:szCs w:val="22"/>
        </w:rPr>
        <w:t xml:space="preserve"> walks through how to frame Section 3 given the empirical situation — material to keep on hand, some pieces become footnotes if Matt asks. </w:t>
      </w:r>
      <w:r>
        <w:rPr>
          <w:rFonts w:ascii="Arial" w:cs="Arial" w:eastAsia="Arial" w:hAnsi="Arial"/>
          <w:b/>
          <w:bCs/>
          <w:i w:val="false"/>
          <w:iCs w:val="false"/>
          <w:sz w:val="22"/>
          <w:szCs w:val="22"/>
        </w:rPr>
        <w:t xml:space="preserve">Part B</w:t>
      </w:r>
      <w:r>
        <w:rPr>
          <w:rFonts w:ascii="Arial" w:cs="Arial" w:eastAsia="Arial" w:hAnsi="Arial"/>
          <w:b w:val="false"/>
          <w:bCs w:val="false"/>
          <w:i w:val="false"/>
          <w:iCs w:val="false"/>
          <w:sz w:val="22"/>
          <w:szCs w:val="22"/>
        </w:rPr>
        <w:t xml:space="preserve"> is the Section 3 ready to paste, light V/M overlap framing, dilution as the math anchor, today’s diagnostics referenced lightly, DD-timing as a one-line aside.</w:t>
      </w:r>
    </w:p>
    <w:p>
      <w:pPr>
        <w:pStyle w:val="Heading1"/>
        <w:spacing w:after="200" w:before="320"/>
      </w:pPr>
      <w:r>
        <w:rPr>
          <w:rFonts w:ascii="Arial" w:cs="Arial" w:eastAsia="Arial" w:hAnsi="Arial"/>
          <w:b/>
          <w:bCs/>
          <w:color w:val="1F4E79"/>
          <w:sz w:val="32"/>
          <w:szCs w:val="32"/>
        </w:rPr>
        <w:t xml:space="preserve">Part A — How to frame Section 3</w:t>
      </w:r>
    </w:p>
    <w:p>
      <w:pPr>
        <w:pStyle w:val="Heading2"/>
        <w:spacing w:after="160" w:before="280"/>
      </w:pPr>
      <w:r>
        <w:rPr>
          <w:rFonts w:ascii="Arial" w:cs="Arial" w:eastAsia="Arial" w:hAnsi="Arial"/>
          <w:b/>
          <w:bCs/>
          <w:color w:val="1F4E79"/>
          <w:sz w:val="28"/>
          <w:szCs w:val="28"/>
        </w:rPr>
        <w:t xml:space="preserve">The empirical situation</w:t>
      </w:r>
    </w:p>
    <w:p>
      <w:pPr>
        <w:spacing w:after="80" w:before="80"/>
      </w:pPr>
      <w:r>
        <w:rPr>
          <w:rFonts w:ascii="Arial" w:cs="Arial" w:eastAsia="Arial" w:hAnsi="Arial"/>
          <w:b w:val="false"/>
          <w:bCs w:val="false"/>
          <w:i w:val="false"/>
          <w:iCs w:val="false"/>
          <w:sz w:val="22"/>
          <w:szCs w:val="22"/>
        </w:rPr>
        <w:t xml:space="preserve">All three WFC variants are flat-to-negative on IR across regimes. WFC[V·Q] is worst (Low DD −0.02, High DD +0.02), WFC[V] is essentially flat (−0.01 / −0.01), WFC[EV] is the smallest move (−0.01 / −0.03). There is no clean positive IR finding to lead with at the composite level.</w:t>
      </w:r>
    </w:p>
    <w:p>
      <w:pPr>
        <w:spacing w:after="80" w:before="80"/>
      </w:pPr>
      <w:r>
        <w:rPr>
          <w:rFonts w:ascii="Arial" w:cs="Arial" w:eastAsia="Arial" w:hAnsi="Arial"/>
          <w:b w:val="false"/>
          <w:bCs w:val="false"/>
          <w:i w:val="false"/>
          <w:iCs w:val="false"/>
          <w:sz w:val="22"/>
          <w:szCs w:val="22"/>
        </w:rPr>
        <w:t xml:space="preserve">But there </w:t>
      </w:r>
      <w:r>
        <w:rPr>
          <w:rFonts w:ascii="Arial" w:cs="Arial" w:eastAsia="Arial" w:hAnsi="Arial"/>
          <w:b w:val="false"/>
          <w:bCs w:val="false"/>
          <w:i/>
          <w:iCs/>
          <w:sz w:val="22"/>
          <w:szCs w:val="22"/>
        </w:rPr>
        <w:t xml:space="preserve">is</w:t>
      </w:r>
      <w:r>
        <w:rPr>
          <w:rFonts w:ascii="Arial" w:cs="Arial" w:eastAsia="Arial" w:hAnsi="Arial"/>
          <w:b w:val="false"/>
          <w:bCs w:val="false"/>
          <w:i w:val="false"/>
          <w:iCs w:val="false"/>
          <w:sz w:val="22"/>
          <w:szCs w:val="22"/>
        </w:rPr>
        <w:t xml:space="preserve"> a real signed result inside the WFC[EV] numbers: </w:t>
      </w:r>
      <w:r>
        <w:rPr>
          <w:rFonts w:ascii="Arial" w:cs="Arial" w:eastAsia="Arial" w:hAnsi="Arial"/>
          <w:b/>
          <w:bCs/>
          <w:i w:val="false"/>
          <w:iCs w:val="false"/>
          <w:sz w:val="22"/>
          <w:szCs w:val="22"/>
        </w:rPr>
        <w:t xml:space="preserve">Low DD return is positive in every universe</w:t>
      </w:r>
      <w:r>
        <w:rPr>
          <w:rFonts w:ascii="Arial" w:cs="Arial" w:eastAsia="Arial" w:hAnsi="Arial"/>
          <w:b w:val="false"/>
          <w:bCs w:val="false"/>
          <w:i w:val="false"/>
          <w:iCs w:val="false"/>
          <w:sz w:val="22"/>
          <w:szCs w:val="22"/>
        </w:rPr>
        <w:t xml:space="preserve"> (SPX +3, MXEA +3, MXWO +9, MXEF +6, MXAP +3 bps; cross-universe +5 bps). This is sign-consistent in 5/5 universes — the same kind of cross-universe consistency claim from Section 2, but at much smaller magnitude. That is the headline to lead with. It’s not a discovery, it’s a direct propagation of the Section 2 EV regime flip into the WFC, attenuated by composite weight.</w:t>
      </w:r>
    </w:p>
    <w:p>
      <w:pPr>
        <w:spacing w:after="80" w:before="80"/>
      </w:pPr>
      <w:r>
        <w:rPr>
          <w:rFonts w:ascii="Arial" w:cs="Arial" w:eastAsia="Arial" w:hAnsi="Arial"/>
          <w:b w:val="false"/>
          <w:bCs w:val="false"/>
          <w:i w:val="false"/>
          <w:iCs w:val="false"/>
          <w:sz w:val="22"/>
          <w:szCs w:val="22"/>
        </w:rPr>
        <w:t xml:space="preserve">The story for Section 3 is therefore not </w:t>
      </w:r>
      <w:r>
        <w:rPr>
          <w:rFonts w:ascii="Arial" w:cs="Arial" w:eastAsia="Arial" w:hAnsi="Arial"/>
          <w:b w:val="false"/>
          <w:bCs w:val="false"/>
          <w:i/>
          <w:iCs/>
          <w:sz w:val="22"/>
          <w:szCs w:val="22"/>
        </w:rPr>
        <w:t xml:space="preserve">“the theory failed”</w:t>
      </w:r>
      <w:r>
        <w:rPr>
          <w:rFonts w:ascii="Arial" w:cs="Arial" w:eastAsia="Arial" w:hAnsi="Arial"/>
          <w:b w:val="false"/>
          <w:bCs w:val="false"/>
          <w:i w:val="false"/>
          <w:iCs w:val="false"/>
          <w:sz w:val="22"/>
          <w:szCs w:val="22"/>
        </w:rPr>
        <w:t xml:space="preserve"> and not </w:t>
      </w:r>
      <w:r>
        <w:rPr>
          <w:rFonts w:ascii="Arial" w:cs="Arial" w:eastAsia="Arial" w:hAnsi="Arial"/>
          <w:b w:val="false"/>
          <w:bCs w:val="false"/>
          <w:i/>
          <w:iCs/>
          <w:sz w:val="22"/>
          <w:szCs w:val="22"/>
        </w:rPr>
        <w:t xml:space="preserve">“the theory transmits cleanly”</w:t>
      </w:r>
      <w:r>
        <w:rPr>
          <w:rFonts w:ascii="Arial" w:cs="Arial" w:eastAsia="Arial" w:hAnsi="Arial"/>
          <w:b w:val="false"/>
          <w:bCs w:val="false"/>
          <w:i w:val="false"/>
          <w:iCs w:val="false"/>
          <w:sz w:val="22"/>
          <w:szCs w:val="22"/>
        </w:rPr>
        <w:t xml:space="preserve">. It is: </w:t>
      </w:r>
      <w:r>
        <w:rPr>
          <w:rFonts w:ascii="Arial" w:cs="Arial" w:eastAsia="Arial" w:hAnsi="Arial"/>
          <w:b/>
          <w:bCs/>
          <w:i w:val="false"/>
          <w:iCs w:val="false"/>
          <w:sz w:val="22"/>
          <w:szCs w:val="22"/>
        </w:rPr>
        <w:t xml:space="preserve">the direction predicted by Section 2 is preserved at the composite, but the magnitude is small enough that IR doesn’t move because the small return improvement is eaten by a small vol increase.</w:t>
      </w:r>
    </w:p>
    <w:p>
      <w:pPr>
        <w:pStyle w:val="Heading2"/>
        <w:spacing w:after="160" w:before="280"/>
      </w:pPr>
      <w:r>
        <w:rPr>
          <w:rFonts w:ascii="Arial" w:cs="Arial" w:eastAsia="Arial" w:hAnsi="Arial"/>
          <w:b/>
          <w:bCs/>
          <w:color w:val="1F4E79"/>
          <w:sz w:val="28"/>
          <w:szCs w:val="28"/>
        </w:rPr>
        <w:t xml:space="preserve">What explains the IR not moving</w:t>
      </w:r>
    </w:p>
    <w:p>
      <w:pPr>
        <w:spacing w:after="80" w:before="80"/>
      </w:pPr>
      <w:r>
        <w:rPr>
          <w:rFonts w:ascii="Arial" w:cs="Arial" w:eastAsia="Arial" w:hAnsi="Arial"/>
          <w:b w:val="false"/>
          <w:bCs w:val="false"/>
          <w:i w:val="false"/>
          <w:iCs w:val="false"/>
          <w:sz w:val="22"/>
          <w:szCs w:val="22"/>
        </w:rPr>
        <w:t xml:space="preserve">Three explanations stack on top of each other. Use them in this order in the Matt-facing version:</w:t>
      </w:r>
    </w:p>
    <w:p>
      <w:pPr>
        <w:spacing w:after="80" w:before="80"/>
      </w:pPr>
      <w:r>
        <w:rPr>
          <w:rFonts w:ascii="Arial" w:cs="Arial" w:eastAsia="Arial" w:hAnsi="Arial"/>
          <w:b/>
          <w:bCs/>
          <w:i w:val="false"/>
          <w:iCs w:val="false"/>
          <w:sz w:val="22"/>
          <w:szCs w:val="22"/>
        </w:rPr>
        <w:t xml:space="preserve">1. Dilution at the score level.</w:t>
      </w:r>
      <w:r>
        <w:rPr>
          <w:rFonts w:ascii="Arial" w:cs="Arial" w:eastAsia="Arial" w:hAnsi="Arial"/>
          <w:b w:val="false"/>
          <w:bCs w:val="false"/>
          <w:i w:val="false"/>
          <w:iCs w:val="false"/>
          <w:sz w:val="22"/>
          <w:szCs w:val="22"/>
        </w:rPr>
        <w:t xml:space="preserve"> Earnings_Value is ~12.5% of the WFC by construction (37.5% within Value × 33% within the WFC). A +0.10 IR effect at the EV theme level becomes ~+0.012 IR at the composite when scaled by share — well within the noise floor of the cross-universe IR estimate. This is the clean, math-only argument. It does not require any new mechanism.</w:t>
      </w:r>
    </w:p>
    <w:p>
      <w:pPr>
        <w:spacing w:after="80" w:before="80"/>
      </w:pPr>
      <w:r>
        <w:rPr>
          <w:rFonts w:ascii="Arial" w:cs="Arial" w:eastAsia="Arial" w:hAnsi="Arial"/>
          <w:b/>
          <w:bCs/>
          <w:i w:val="false"/>
          <w:iCs w:val="false"/>
          <w:sz w:val="22"/>
          <w:szCs w:val="22"/>
        </w:rPr>
        <w:t xml:space="preserve">2. V/M overlap removal raises composite vol slightly.</w:t>
      </w:r>
      <w:r>
        <w:rPr>
          <w:rFonts w:ascii="Arial" w:cs="Arial" w:eastAsia="Arial" w:hAnsi="Arial"/>
          <w:b w:val="false"/>
          <w:bCs w:val="false"/>
          <w:i w:val="false"/>
          <w:iCs w:val="false"/>
          <w:sz w:val="22"/>
          <w:szCs w:val="22"/>
        </w:rPr>
        <w:t xml:space="preserve"> Baseline EV is anti-Momentum: on stocks where M says “long winner”, EV often says “short winner (now expensive)”. Those opposing positions partially cancel at the WFC active-weight level — a free risk reduction baked into the Baseline architecture. PMOM-neut on EV removes that anti-M tilt, so the cancellation against M is partially lost. Composite holds slightly larger net positions on the same stocks. Cross-universe Low DD WFC[EV] vol is +4 bps; High DD vol is +9 bps. Small, in the predicted direction, and explains why the return improvement doesn’t translate to IR.</w:t>
      </w:r>
    </w:p>
    <w:p>
      <w:pPr>
        <w:spacing w:after="80" w:before="80"/>
      </w:pPr>
      <w:r>
        <w:rPr>
          <w:rFonts w:ascii="Arial" w:cs="Arial" w:eastAsia="Arial" w:hAnsi="Arial"/>
          <w:b/>
          <w:bCs/>
          <w:i w:val="false"/>
          <w:iCs w:val="false"/>
          <w:sz w:val="22"/>
          <w:szCs w:val="22"/>
        </w:rPr>
        <w:t xml:space="preserve">3. The Momentum third dominates the composite’s PMOM exposure anyway.</w:t>
      </w:r>
      <w:r>
        <w:rPr>
          <w:rFonts w:ascii="Arial" w:cs="Arial" w:eastAsia="Arial" w:hAnsi="Arial"/>
          <w:b w:val="false"/>
          <w:bCs w:val="false"/>
          <w:i w:val="false"/>
          <w:iCs w:val="false"/>
          <w:sz w:val="22"/>
          <w:szCs w:val="22"/>
        </w:rPr>
        <w:t xml:space="preserve"> The composite has 1/3 weight on Momentum_3SLOW, which carries |ρ(Momentum, PMOM_3SLOW)|≈0.61. The composite’s overall |ρ(WFC, PMOM)|≈0.32 is dominated by that third. The EV slice contributes ~8% of the composite as PMOM-clean signal (1/3 × 0.253 ≈ 0.084, where 0.253 is the EV weight in the Value-EV recipe at step 07a), too small to shift the composite-level PMOM correlation — empirically, |ρ(PMR_EVP_WFP, PMOM)| = 0.323 vs |ρ(PMR_B_WFP, PMOM)| = 0.318, indistinguishable. Even the most aggressive variant, full PMR_P_WFP, only reduces composite |ρ| from 0.32 to 0.29, because the Momentum third stays Baseline by design (neutralizing momentum to PMOM is circular).</w:t>
      </w:r>
    </w:p>
    <w:p>
      <w:pPr>
        <w:pBdr>
          <w:top w:val="none" w:color="auto" w:sz="0"/>
          <w:left w:val="single" w:color="9CC3E5" w:sz="24" w:space="12"/>
          <w:bottom w:val="none" w:color="auto" w:sz="0"/>
          <w:right w:val="none" w:color="auto" w:sz="0"/>
        </w:pBdr>
        <w:spacing w:after="120" w:before="120"/>
        <w:ind w:left="240"/>
      </w:pPr>
      <w:r>
        <w:rPr>
          <w:rFonts w:ascii="Arial" w:cs="Arial" w:eastAsia="Arial" w:hAnsi="Arial"/>
          <w:i/>
          <w:iCs/>
          <w:color w:val="404040"/>
          <w:sz w:val="22"/>
          <w:szCs w:val="22"/>
        </w:rPr>
        <w:t xml:space="preserve">Point 3 comes from today’s plumbing diagnostics (PMR_EVP_WFP verification). It’s a sharper, empirical version of dilution — instead of arguing “EV is 12.5% by weight, so the effect must be small”, it shows directly that the composite’s PMOM exposure is set by the Momentum third and EV’s contribution is invisible at that level. We’ll keep it as a footnote in the Matt-facing version (per your call). If Matt asks why even full PMR_P_WFP doesn’t move the composite’s PMOM correlation much, point 3 is the answer.</w:t>
      </w:r>
    </w:p>
    <w:p>
      <w:pPr>
        <w:pStyle w:val="Heading2"/>
        <w:spacing w:after="160" w:before="280"/>
      </w:pPr>
      <w:r>
        <w:rPr>
          <w:rFonts w:ascii="Arial" w:cs="Arial" w:eastAsia="Arial" w:hAnsi="Arial"/>
          <w:b/>
          <w:bCs/>
          <w:color w:val="1F4E79"/>
          <w:sz w:val="28"/>
          <w:szCs w:val="28"/>
        </w:rPr>
        <w:t xml:space="preserve">What we are leaving out (and why)</w:t>
      </w:r>
    </w:p>
    <w:p>
      <w:pPr>
        <w:spacing w:after="80" w:before="80"/>
      </w:pPr>
      <w:r>
        <w:rPr>
          <w:rFonts w:ascii="Arial" w:cs="Arial" w:eastAsia="Arial" w:hAnsi="Arial"/>
          <w:b/>
          <w:bCs/>
          <w:i w:val="false"/>
          <w:iCs w:val="false"/>
          <w:sz w:val="22"/>
          <w:szCs w:val="22"/>
        </w:rPr>
        <w:t xml:space="preserve">Per-universe vol asymmetry (DM vs EM).</w:t>
      </w:r>
      <w:r>
        <w:rPr>
          <w:rFonts w:ascii="Arial" w:cs="Arial" w:eastAsia="Arial" w:hAnsi="Arial"/>
          <w:b w:val="false"/>
          <w:bCs w:val="false"/>
          <w:i w:val="false"/>
          <w:iCs w:val="false"/>
          <w:sz w:val="22"/>
          <w:szCs w:val="22"/>
        </w:rPr>
        <w:t xml:space="preserve"> Looking across universes, the vol increase from WFC[EV] is concentrated in developed markets (SPX +6, MXEA +5, MXWO +12 in Low DD) and absent in emerging (MXEF −1, MXAP −1). The cross-universe pattern matches the V/M overlap mechanism: where V and M are most anti-correlated (DM), removing EV’s anti-PMOM tilt does the most damage to the natural cancellation, vol rises most. Where V/M overlap is small (EM), there’s little cancellation to lose, vol doesn’t move.</w:t>
      </w:r>
    </w:p>
    <w:p>
      <w:pPr>
        <w:spacing w:after="80" w:before="80"/>
      </w:pPr>
      <w:r>
        <w:rPr>
          <w:rFonts w:ascii="Arial" w:cs="Arial" w:eastAsia="Arial" w:hAnsi="Arial"/>
          <w:b w:val="false"/>
          <w:bCs w:val="false"/>
          <w:i w:val="false"/>
          <w:iCs w:val="false"/>
          <w:sz w:val="22"/>
          <w:szCs w:val="22"/>
        </w:rPr>
        <w:t xml:space="preserve">This is the strongest mechanism evidence in the data — but you asked to defer it. The right way to keep the door open is to flag the pattern in passing in Section 3 (one sentence in the section summary), and save the dissection for the follow-up paths. The pattern is consistent with V/M overlap; the dissection requires a deeper look at V/M correlations per universe that doesn’t belong in this document.</w:t>
      </w:r>
    </w:p>
    <w:p>
      <w:pPr>
        <w:spacing w:after="80" w:before="80"/>
      </w:pPr>
      <w:r>
        <w:rPr>
          <w:rFonts w:ascii="Arial" w:cs="Arial" w:eastAsia="Arial" w:hAnsi="Arial"/>
          <w:b/>
          <w:bCs/>
          <w:i w:val="false"/>
          <w:iCs w:val="false"/>
          <w:sz w:val="22"/>
          <w:szCs w:val="22"/>
        </w:rPr>
        <w:t xml:space="preserve">DD-timing dilution.</w:t>
      </w:r>
      <w:r>
        <w:rPr>
          <w:rFonts w:ascii="Arial" w:cs="Arial" w:eastAsia="Arial" w:hAnsi="Arial"/>
          <w:b w:val="false"/>
          <w:bCs w:val="false"/>
          <w:i w:val="false"/>
          <w:iCs w:val="false"/>
          <w:sz w:val="22"/>
          <w:szCs w:val="22"/>
        </w:rPr>
        <w:t xml:space="preserve"> Production WFC uses DD-timing that underweights Value (and so EV) in Low DD precisely because of the anti-PMOM tilt. So even the +5 bps cross-universe Low DD return improvement would shrink further once you put EV-neut inside the DD-timed live composite. One-sentence aside in the section summary — enough to signal it without making it a substantive sub-point.</w:t>
      </w:r>
    </w:p>
    <w:p>
      <w:pPr>
        <w:pStyle w:val="Heading2"/>
        <w:spacing w:after="160" w:before="280"/>
      </w:pPr>
      <w:r>
        <w:rPr>
          <w:rFonts w:ascii="Arial" w:cs="Arial" w:eastAsia="Arial" w:hAnsi="Arial"/>
          <w:b/>
          <w:bCs/>
          <w:color w:val="1F4E79"/>
          <w:sz w:val="28"/>
          <w:szCs w:val="28"/>
        </w:rPr>
        <w:t xml:space="preserve">Section structure recommended</w:t>
      </w:r>
    </w:p>
    <w:p>
      <w:pPr>
        <w:pStyle w:val="ListParagraph"/>
        <w:numPr>
          <w:ilvl w:val="0"/>
          <w:numId w:val="2"/>
        </w:numPr>
        <w:spacing w:after="60" w:before="60"/>
      </w:pPr>
      <w:r>
        <w:rPr>
          <w:rFonts w:ascii="Arial" w:cs="Arial" w:eastAsia="Arial" w:hAnsi="Arial"/>
          <w:b w:val="false"/>
          <w:bCs w:val="false"/>
          <w:i w:val="false"/>
          <w:iCs w:val="false"/>
          <w:sz w:val="22"/>
          <w:szCs w:val="22"/>
        </w:rPr>
        <w:t>Open with: Section 2 confirmed the EV regime flip at the theme level; Section 3 asks whether it propagates to the WFC.</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Variants tested (same table as v2: Baseline, WFC[V·Q], WFC[V], WFC[EV]).</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Results conditional on DD state — lead with the Low DD return sign-consistency for WFC[EV] across universes (5/5).</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Why IR doesn’t move — dilution (math), then V/M overlap raising vol slightly (mechanism), then DD-timing aside (one sentence).</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Footnote to today’s diagnostic on composite-level PMOM correlation being dominated by Momentum third.</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Section summary — regime-conditional implementation recommendation from Section 2 extends to Section 3; magnitude shortfall is the open architectural question, with two follow-up paths.</w:t>
      </w:r>
    </w:p>
    <w:p>
      <w:r>
        <w:t xml:space="preserve"/>
      </w:r>
    </w:p>
    <w:p>
      <w:pPr>
        <w:pStyle w:val="Heading1"/>
        <w:spacing w:after="200" w:before="320"/>
      </w:pPr>
      <w:r>
        <w:rPr>
          <w:rFonts w:ascii="Arial" w:cs="Arial" w:eastAsia="Arial" w:hAnsi="Arial"/>
          <w:b/>
          <w:bCs/>
          <w:color w:val="1F4E79"/>
          <w:sz w:val="32"/>
          <w:szCs w:val="32"/>
        </w:rPr>
        <w:t xml:space="preserve">Part B — Section 3, ready to paste</w:t>
      </w:r>
    </w:p>
    <w:p>
      <w:pPr>
        <w:pStyle w:val="Heading1"/>
        <w:spacing w:after="200" w:before="320"/>
      </w:pPr>
      <w:r>
        <w:rPr>
          <w:rFonts w:ascii="Arial" w:cs="Arial" w:eastAsia="Arial" w:hAnsi="Arial"/>
          <w:b/>
          <w:bCs/>
          <w:color w:val="1F4E79"/>
          <w:sz w:val="32"/>
          <w:szCs w:val="32"/>
        </w:rPr>
        <w:t xml:space="preserve">3 WFC performance with/without PMOM neutralization</w:t>
      </w:r>
    </w:p>
    <w:p>
      <w:pPr>
        <w:spacing w:after="80" w:before="80"/>
      </w:pPr>
      <w:r>
        <w:rPr>
          <w:rFonts w:ascii="Arial" w:cs="Arial" w:eastAsia="Arial" w:hAnsi="Arial"/>
          <w:b w:val="false"/>
          <w:bCs w:val="false"/>
          <w:i w:val="false"/>
          <w:iCs w:val="false"/>
          <w:sz w:val="22"/>
          <w:szCs w:val="22"/>
        </w:rPr>
        <w:t xml:space="preserve">Section 2 confirmed Matt’s hypothesis at the factor-theme level: PMOM-neut on Earnings_Value produces the predicted regime flip (Low DD IR +0.10, High DD IR −0.07, sign-consistent across universes). Section 3 asks whether this factor-theme finding propagates to the Weighted Factor Composite — the level we actually combine for portfolio construction.</w:t>
      </w:r>
    </w:p>
    <w:p>
      <w:pPr>
        <w:pStyle w:val="Heading2"/>
        <w:spacing w:after="160" w:before="280"/>
      </w:pPr>
      <w:r>
        <w:rPr>
          <w:rFonts w:ascii="Arial" w:cs="Arial" w:eastAsia="Arial" w:hAnsi="Arial"/>
          <w:b/>
          <w:bCs/>
          <w:color w:val="1F4E79"/>
          <w:sz w:val="28"/>
          <w:szCs w:val="28"/>
        </w:rPr>
        <w:t xml:space="preserve">Variants tested</w:t>
      </w:r>
    </w:p>
    <w:p>
      <w:pPr>
        <w:pStyle w:val="ListParagraph"/>
        <w:numPr>
          <w:ilvl w:val="0"/>
          <w:numId w:val="2"/>
        </w:numPr>
        <w:spacing w:after="60" w:before="60"/>
      </w:pPr>
      <w:r>
        <w:rPr>
          <w:rFonts w:ascii="Arial" w:cs="Arial" w:eastAsia="Arial" w:hAnsi="Arial"/>
          <w:b/>
          <w:bCs/>
          <w:i w:val="false"/>
          <w:iCs w:val="false"/>
          <w:sz w:val="22"/>
          <w:szCs w:val="22"/>
        </w:rPr>
        <w:t xml:space="preserve">Baseline</w:t>
      </w:r>
      <w:r>
        <w:rPr>
          <w:rFonts w:ascii="Arial" w:cs="Arial" w:eastAsia="Arial" w:hAnsi="Arial"/>
          <w:b w:val="false"/>
          <w:bCs w:val="false"/>
          <w:i w:val="false"/>
          <w:iCs w:val="false"/>
          <w:sz w:val="22"/>
          <w:szCs w:val="22"/>
        </w:rPr>
        <w:t xml:space="preserve">: 1/3 static weight on each super factor. No neutralization.</w:t>
      </w:r>
    </w:p>
    <w:p>
      <w:pPr>
        <w:pStyle w:val="ListParagraph"/>
        <w:numPr>
          <w:ilvl w:val="0"/>
          <w:numId w:val="2"/>
        </w:numPr>
        <w:spacing w:after="60" w:before="60"/>
      </w:pPr>
      <w:r>
        <w:rPr>
          <w:rFonts w:ascii="Arial" w:cs="Arial" w:eastAsia="Arial" w:hAnsi="Arial"/>
          <w:b/>
          <w:bCs/>
          <w:i w:val="false"/>
          <w:iCs w:val="false"/>
          <w:sz w:val="22"/>
          <w:szCs w:val="22"/>
        </w:rPr>
        <w:t xml:space="preserve">WFC[V·Q]</w:t>
      </w:r>
      <w:r>
        <w:rPr>
          <w:rFonts w:ascii="Arial" w:cs="Arial" w:eastAsia="Arial" w:hAnsi="Arial"/>
          <w:b w:val="false"/>
          <w:bCs w:val="false"/>
          <w:i w:val="false"/>
          <w:iCs w:val="false"/>
          <w:sz w:val="22"/>
          <w:szCs w:val="22"/>
        </w:rPr>
        <w:t xml:space="preserve">: Baseline weights, Quality and Value both PMOM-neutralized (and their sub-factors at every level).</w:t>
      </w:r>
    </w:p>
    <w:p>
      <w:pPr>
        <w:pStyle w:val="ListParagraph"/>
        <w:numPr>
          <w:ilvl w:val="0"/>
          <w:numId w:val="2"/>
        </w:numPr>
        <w:spacing w:after="60" w:before="60"/>
      </w:pPr>
      <w:r>
        <w:rPr>
          <w:rFonts w:ascii="Arial" w:cs="Arial" w:eastAsia="Arial" w:hAnsi="Arial"/>
          <w:b/>
          <w:bCs/>
          <w:i w:val="false"/>
          <w:iCs w:val="false"/>
          <w:sz w:val="22"/>
          <w:szCs w:val="22"/>
        </w:rPr>
        <w:t xml:space="preserve">WFC[V]</w:t>
      </w:r>
      <w:r>
        <w:rPr>
          <w:rFonts w:ascii="Arial" w:cs="Arial" w:eastAsia="Arial" w:hAnsi="Arial"/>
          <w:b w:val="false"/>
          <w:bCs w:val="false"/>
          <w:i w:val="false"/>
          <w:iCs w:val="false"/>
          <w:sz w:val="22"/>
          <w:szCs w:val="22"/>
        </w:rPr>
        <w:t xml:space="preserve">: Baseline weights, Value only PMOM-neutralized (Quality stays Baseline).</w:t>
      </w:r>
    </w:p>
    <w:p>
      <w:pPr>
        <w:pStyle w:val="ListParagraph"/>
        <w:numPr>
          <w:ilvl w:val="0"/>
          <w:numId w:val="2"/>
        </w:numPr>
        <w:spacing w:after="60" w:before="60"/>
      </w:pPr>
      <w:r>
        <w:rPr>
          <w:rFonts w:ascii="Arial" w:cs="Arial" w:eastAsia="Arial" w:hAnsi="Arial"/>
          <w:b/>
          <w:bCs/>
          <w:i w:val="false"/>
          <w:iCs w:val="false"/>
          <w:sz w:val="22"/>
          <w:szCs w:val="22"/>
        </w:rPr>
        <w:t xml:space="preserve">WFC[EV]</w:t>
      </w:r>
      <w:r>
        <w:rPr>
          <w:rFonts w:ascii="Arial" w:cs="Arial" w:eastAsia="Arial" w:hAnsi="Arial"/>
          <w:b w:val="false"/>
          <w:bCs w:val="false"/>
          <w:i w:val="false"/>
          <w:iCs w:val="false"/>
          <w:sz w:val="22"/>
          <w:szCs w:val="22"/>
        </w:rPr>
        <w:t xml:space="preserve">: Baseline weights, Earnings_Value only PMOM-neutralized (FCF_Value, TYTD2EV1Y, Quality stay Baseline).</w:t>
      </w:r>
    </w:p>
    <w:p>
      <w:pPr>
        <w:spacing w:after="80" w:before="80"/>
      </w:pPr>
      <w:r>
        <w:rPr>
          <w:rFonts w:ascii="Arial" w:cs="Arial" w:eastAsia="Arial" w:hAnsi="Arial"/>
          <w:b w:val="false"/>
          <w:bCs w:val="false"/>
          <w:i w:val="false"/>
          <w:iCs w:val="false"/>
          <w:sz w:val="22"/>
          <w:szCs w:val="22"/>
        </w:rPr>
        <w:t xml:space="preserve">Static 1/3 weights, no DD-timing, to isolate the effect of neutralization itself.</w:t>
      </w:r>
    </w:p>
    <w:p>
      <w:pPr>
        <w:pStyle w:val="Heading2"/>
        <w:spacing w:after="160" w:before="280"/>
      </w:pPr>
      <w:r>
        <w:rPr>
          <w:rFonts w:ascii="Arial" w:cs="Arial" w:eastAsia="Arial" w:hAnsi="Arial"/>
          <w:b/>
          <w:bCs/>
          <w:color w:val="1F4E79"/>
          <w:sz w:val="28"/>
          <w:szCs w:val="28"/>
        </w:rPr>
        <w:t xml:space="preserve">Results conditional on DD state</w:t>
      </w:r>
    </w:p>
    <w:p>
      <w:pPr>
        <w:spacing w:after="80" w:before="80"/>
      </w:pPr>
      <w:r>
        <w:rPr>
          <w:rFonts w:ascii="Arial" w:cs="Arial" w:eastAsia="Arial" w:hAnsi="Arial"/>
          <w:b/>
          <w:bCs/>
          <w:i w:val="false"/>
          <w:iCs w:val="false"/>
          <w:sz w:val="22"/>
          <w:szCs w:val="22"/>
        </w:rPr>
        <w:t xml:space="preserve">Average across universes:</w:t>
      </w:r>
    </w:p>
    <w:p>
      <w:pPr>
        <w:pBdr>
          <w:top w:val="dashed" w:color="BFBFBF" w:sz="6" w:space="4"/>
          <w:left w:val="dashed" w:color="BFBFBF" w:sz="6" w:space="4"/>
          <w:bottom w:val="dashed" w:color="BFBFBF" w:sz="6" w:space="4"/>
          <w:right w:val="dashed" w:color="BFBFBF" w:sz="6" w:space="4"/>
        </w:pBdr>
        <w:spacing w:after="140" w:before="140"/>
        <w:ind w:left="120" w:right="120"/>
        <w:jc w:val="left"/>
      </w:pPr>
      <w:r>
        <w:rPr>
          <w:rFonts w:ascii="Arial" w:cs="Arial" w:eastAsia="Arial" w:hAnsi="Arial"/>
          <w:i/>
          <w:iCs/>
          <w:color w:val="595959"/>
          <w:sz w:val="22"/>
          <w:szCs w:val="22"/>
        </w:rPr>
        <w:t xml:space="preserve">[Insert table: Cross-Universe Mean — WFC Variants by DD State]</w:t>
      </w:r>
    </w:p>
    <w:p>
      <w:pPr>
        <w:spacing w:after="80" w:before="80"/>
      </w:pPr>
      <w:r>
        <w:rPr>
          <w:rFonts w:ascii="Arial" w:cs="Arial" w:eastAsia="Arial" w:hAnsi="Arial"/>
          <w:b w:val="false"/>
          <w:bCs w:val="false"/>
          <w:i w:val="false"/>
          <w:iCs w:val="false"/>
          <w:sz w:val="22"/>
          <w:szCs w:val="22"/>
        </w:rPr>
        <w:t xml:space="preserve">The headline result is in WFC[EV]:</w:t>
      </w:r>
    </w:p>
    <w:p>
      <w:pPr>
        <w:pStyle w:val="ListParagraph"/>
        <w:numPr>
          <w:ilvl w:val="0"/>
          <w:numId w:val="2"/>
        </w:numPr>
        <w:spacing w:after="60" w:before="60"/>
      </w:pPr>
      <w:r>
        <w:rPr>
          <w:rFonts w:ascii="Arial" w:cs="Arial" w:eastAsia="Arial" w:hAnsi="Arial"/>
          <w:b/>
          <w:bCs/>
          <w:i w:val="false"/>
          <w:iCs w:val="false"/>
          <w:sz w:val="22"/>
          <w:szCs w:val="22"/>
        </w:rPr>
        <w:t xml:space="preserve">Low DD return is positive in every universe</w:t>
      </w:r>
      <w:r>
        <w:rPr>
          <w:rFonts w:ascii="Arial" w:cs="Arial" w:eastAsia="Arial" w:hAnsi="Arial"/>
          <w:b w:val="false"/>
          <w:bCs w:val="false"/>
          <w:i w:val="false"/>
          <w:iCs w:val="false"/>
          <w:sz w:val="22"/>
          <w:szCs w:val="22"/>
        </w:rPr>
        <w:t xml:space="preserve"> (SPX +3, MXEA +3, MXWO +9, MXEF +6, MXAP +3 bps; cross-universe +5 bps). The direction predicted by Section 2 propagates cleanly to the composite.</w:t>
      </w:r>
    </w:p>
    <w:p>
      <w:pPr>
        <w:pStyle w:val="ListParagraph"/>
        <w:numPr>
          <w:ilvl w:val="0"/>
          <w:numId w:val="2"/>
        </w:numPr>
        <w:spacing w:after="60" w:before="60"/>
      </w:pPr>
      <w:r>
        <w:rPr>
          <w:rFonts w:ascii="Arial" w:cs="Arial" w:eastAsia="Arial" w:hAnsi="Arial"/>
          <w:b w:val="false"/>
          <w:bCs w:val="false"/>
          <w:i w:val="false"/>
          <w:iCs w:val="false"/>
          <w:sz w:val="22"/>
          <w:szCs w:val="22"/>
        </w:rPr>
        <w:t xml:space="preserve">Cross-universe IR is flat in Low DD (−0.01) and slightly negative in High DD (−0.03). The Low DD return improvement (+5 bps) is offset by a small vol increase (+4 bps). The High DD return cost (−8 bps) and vol increase (+9 bps) compound.</w:t>
      </w:r>
    </w:p>
    <w:p>
      <w:pPr>
        <w:spacing w:after="80" w:before="80"/>
      </w:pPr>
      <w:r>
        <w:rPr>
          <w:rFonts w:ascii="Arial" w:cs="Arial" w:eastAsia="Arial" w:hAnsi="Arial"/>
          <w:b/>
          <w:bCs/>
          <w:i w:val="false"/>
          <w:iCs w:val="false"/>
          <w:sz w:val="22"/>
          <w:szCs w:val="22"/>
        </w:rPr>
        <w:t xml:space="preserve">Cross-variant comparison:</w:t>
      </w:r>
    </w:p>
    <w:p>
      <w:pPr>
        <w:pStyle w:val="ListParagraph"/>
        <w:numPr>
          <w:ilvl w:val="0"/>
          <w:numId w:val="2"/>
        </w:numPr>
        <w:spacing w:after="60" w:before="60"/>
      </w:pPr>
      <w:r>
        <w:rPr>
          <w:rFonts w:ascii="Arial" w:cs="Arial" w:eastAsia="Arial" w:hAnsi="Arial"/>
          <w:b/>
          <w:bCs/>
          <w:i w:val="false"/>
          <w:iCs w:val="false"/>
          <w:sz w:val="22"/>
          <w:szCs w:val="22"/>
        </w:rPr>
        <w:t xml:space="preserve">WFC[V·Q]</w:t>
      </w:r>
      <w:r>
        <w:rPr>
          <w:rFonts w:ascii="Arial" w:cs="Arial" w:eastAsia="Arial" w:hAnsi="Arial"/>
          <w:b w:val="false"/>
          <w:bCs w:val="false"/>
          <w:i w:val="false"/>
          <w:iCs w:val="false"/>
          <w:sz w:val="22"/>
          <w:szCs w:val="22"/>
        </w:rPr>
        <w:t xml:space="preserve">: Low DD IR −0.02, High DD IR +0.02. Most aggressive variant, performs worst overall.</w:t>
      </w:r>
    </w:p>
    <w:p>
      <w:pPr>
        <w:pStyle w:val="ListParagraph"/>
        <w:numPr>
          <w:ilvl w:val="0"/>
          <w:numId w:val="2"/>
        </w:numPr>
        <w:spacing w:after="60" w:before="60"/>
      </w:pPr>
      <w:r>
        <w:rPr>
          <w:rFonts w:ascii="Arial" w:cs="Arial" w:eastAsia="Arial" w:hAnsi="Arial"/>
          <w:b/>
          <w:bCs/>
          <w:i w:val="false"/>
          <w:iCs w:val="false"/>
          <w:sz w:val="22"/>
          <w:szCs w:val="22"/>
        </w:rPr>
        <w:t xml:space="preserve">WFC[V]</w:t>
      </w:r>
      <w:r>
        <w:rPr>
          <w:rFonts w:ascii="Arial" w:cs="Arial" w:eastAsia="Arial" w:hAnsi="Arial"/>
          <w:b w:val="false"/>
          <w:bCs w:val="false"/>
          <w:i w:val="false"/>
          <w:iCs w:val="false"/>
          <w:sz w:val="22"/>
          <w:szCs w:val="22"/>
        </w:rPr>
        <w:t xml:space="preserve">: Low DD IR −0.01, High DD IR −0.01. Smaller scope of neutralization, smaller damage.</w:t>
      </w:r>
    </w:p>
    <w:p>
      <w:pPr>
        <w:pStyle w:val="ListParagraph"/>
        <w:numPr>
          <w:ilvl w:val="0"/>
          <w:numId w:val="2"/>
        </w:numPr>
        <w:spacing w:after="60" w:before="60"/>
      </w:pPr>
      <w:r>
        <w:rPr>
          <w:rFonts w:ascii="Arial" w:cs="Arial" w:eastAsia="Arial" w:hAnsi="Arial"/>
          <w:b/>
          <w:bCs/>
          <w:i w:val="false"/>
          <w:iCs w:val="false"/>
          <w:sz w:val="22"/>
          <w:szCs w:val="22"/>
        </w:rPr>
        <w:t xml:space="preserve">WFC[EV]</w:t>
      </w:r>
      <w:r>
        <w:rPr>
          <w:rFonts w:ascii="Arial" w:cs="Arial" w:eastAsia="Arial" w:hAnsi="Arial"/>
          <w:b w:val="false"/>
          <w:bCs w:val="false"/>
          <w:i w:val="false"/>
          <w:iCs w:val="false"/>
          <w:sz w:val="22"/>
          <w:szCs w:val="22"/>
        </w:rPr>
        <w:t xml:space="preserve">: Low DD IR −0.01, High DD IR −0.03. Smallest scope, picks up the small theory-predicted return improvement in Low DD without translating to IR.</w:t>
      </w:r>
    </w:p>
    <w:p>
      <w:pPr>
        <w:spacing w:after="80" w:before="80"/>
      </w:pPr>
      <w:r>
        <w:rPr>
          <w:rFonts w:ascii="Arial" w:cs="Arial" w:eastAsia="Arial" w:hAnsi="Arial"/>
          <w:b w:val="false"/>
          <w:bCs w:val="false"/>
          <w:i w:val="false"/>
          <w:iCs w:val="false"/>
          <w:sz w:val="22"/>
          <w:szCs w:val="22"/>
        </w:rPr>
        <w:t xml:space="preserve">The progression supports the framing: the more neutralization is applied above the structural source (EV), the more damage is done relative to the underlying signal that’s actually there to remove. WFC[V·Q]’s additional neutralization of Quality — which Section 2 showed has no structural anti-PMOM tilt — contributes no signal and explains why it performs worst.</w:t>
      </w:r>
    </w:p>
    <w:p>
      <w:pPr>
        <w:spacing w:after="80" w:before="80"/>
      </w:pPr>
      <w:r>
        <w:rPr>
          <w:rFonts w:ascii="Arial" w:cs="Arial" w:eastAsia="Arial" w:hAnsi="Arial"/>
          <w:b/>
          <w:bCs/>
          <w:i w:val="false"/>
          <w:iCs w:val="false"/>
          <w:sz w:val="22"/>
          <w:szCs w:val="22"/>
        </w:rPr>
        <w:t xml:space="preserve">Per-universe tables:</w:t>
      </w:r>
    </w:p>
    <w:p>
      <w:pPr>
        <w:pBdr>
          <w:top w:val="dashed" w:color="BFBFBF" w:sz="6" w:space="4"/>
          <w:left w:val="dashed" w:color="BFBFBF" w:sz="6" w:space="4"/>
          <w:bottom w:val="dashed" w:color="BFBFBF" w:sz="6" w:space="4"/>
          <w:right w:val="dashed" w:color="BFBFBF" w:sz="6" w:space="4"/>
        </w:pBdr>
        <w:spacing w:after="140" w:before="140"/>
        <w:ind w:left="120" w:right="120"/>
        <w:jc w:val="left"/>
      </w:pPr>
      <w:r>
        <w:rPr>
          <w:rFonts w:ascii="Arial" w:cs="Arial" w:eastAsia="Arial" w:hAnsi="Arial"/>
          <w:i/>
          <w:iCs/>
          <w:color w:val="595959"/>
          <w:sz w:val="22"/>
          <w:szCs w:val="22"/>
        </w:rPr>
        <w:t xml:space="preserve">[Insert per-universe tables: SPX, MXEA, MXWO, MXEF, MXAP — WFC Variants by DD State]</w:t>
      </w:r>
    </w:p>
    <w:p>
      <w:pPr>
        <w:spacing w:after="80" w:before="80"/>
      </w:pPr>
      <w:r>
        <w:rPr>
          <w:rFonts w:ascii="Arial" w:cs="Arial" w:eastAsia="Arial" w:hAnsi="Arial"/>
          <w:b w:val="false"/>
          <w:bCs w:val="false"/>
          <w:i w:val="false"/>
          <w:iCs w:val="false"/>
          <w:sz w:val="22"/>
          <w:szCs w:val="22"/>
        </w:rPr>
        <w:t xml:space="preserve">The pattern is consistent across universes: small return improvements in Low DD for WFC[EV] (sign-consistent 5/5), small return costs in High DD (sign-consistent 5/5), IR essentially flat. WFC[V·Q] and WFC[V] show no consistent regime pattern.</w:t>
      </w:r>
    </w:p>
    <w:p>
      <w:pPr>
        <w:pStyle w:val="Heading2"/>
        <w:spacing w:after="160" w:before="280"/>
      </w:pPr>
      <w:r>
        <w:rPr>
          <w:rFonts w:ascii="Arial" w:cs="Arial" w:eastAsia="Arial" w:hAnsi="Arial"/>
          <w:b/>
          <w:bCs/>
          <w:color w:val="1F4E79"/>
          <w:sz w:val="28"/>
          <w:szCs w:val="28"/>
        </w:rPr>
        <w:t xml:space="preserve">Why the factor-theme finding does not scale up</w:t>
      </w:r>
    </w:p>
    <w:p>
      <w:pPr>
        <w:spacing w:after="80" w:before="80"/>
      </w:pPr>
      <w:r>
        <w:rPr>
          <w:rFonts w:ascii="Arial" w:cs="Arial" w:eastAsia="Arial" w:hAnsi="Arial"/>
          <w:b w:val="false"/>
          <w:bCs w:val="false"/>
          <w:i w:val="false"/>
          <w:iCs w:val="false"/>
          <w:sz w:val="22"/>
          <w:szCs w:val="22"/>
        </w:rPr>
        <w:t xml:space="preserve">Two effects stack to explain why the Section 2 EV regime flip does not produce a meaningful IR move at the WFC level.</w:t>
      </w:r>
    </w:p>
    <w:p>
      <w:pPr>
        <w:spacing w:after="80" w:before="80"/>
      </w:pPr>
      <w:r>
        <w:rPr>
          <w:rFonts w:ascii="Arial" w:cs="Arial" w:eastAsia="Arial" w:hAnsi="Arial"/>
          <w:b/>
          <w:bCs/>
          <w:i w:val="false"/>
          <w:iCs w:val="false"/>
          <w:sz w:val="22"/>
          <w:szCs w:val="22"/>
        </w:rPr>
        <w:t xml:space="preserve">First, dilution. </w:t>
      </w:r>
      <w:r>
        <w:rPr>
          <w:rFonts w:ascii="Arial" w:cs="Arial" w:eastAsia="Arial" w:hAnsi="Arial"/>
          <w:b w:val="false"/>
          <w:bCs w:val="false"/>
          <w:i w:val="false"/>
          <w:iCs w:val="false"/>
          <w:sz w:val="22"/>
          <w:szCs w:val="22"/>
        </w:rPr>
        <w:t xml:space="preserve">Earnings_Value is roughly 12.5% of the WFC (37.5% within Value, then 33% within the WFC). A clean +0.10 IR effect at the EV factor-theme level becomes a ~+0.012 IR effect at the WFC level when scaled by that share — well within the noise floor of the cross-universe IR estimate. The +5 bps Low DD return improvement in WFC[EV] is exactly the magnitude this scaling predicts.</w:t>
      </w:r>
    </w:p>
    <w:p>
      <w:pPr>
        <w:spacing w:after="80" w:before="80"/>
      </w:pPr>
      <w:r>
        <w:rPr>
          <w:rFonts w:ascii="Arial" w:cs="Arial" w:eastAsia="Arial" w:hAnsi="Arial"/>
          <w:b/>
          <w:bCs/>
          <w:i w:val="false"/>
          <w:iCs w:val="false"/>
          <w:sz w:val="22"/>
          <w:szCs w:val="22"/>
        </w:rPr>
        <w:t xml:space="preserve">Second, removing EV’s anti-PMOM tilt undoes some of the structural V/M cancellation in Baseline. </w:t>
      </w:r>
      <w:r>
        <w:rPr>
          <w:rFonts w:ascii="Arial" w:cs="Arial" w:eastAsia="Arial" w:hAnsi="Arial"/>
          <w:b w:val="false"/>
          <w:bCs w:val="false"/>
          <w:i w:val="false"/>
          <w:iCs w:val="false"/>
          <w:sz w:val="22"/>
          <w:szCs w:val="22"/>
        </w:rPr>
        <w:t xml:space="preserve">Baseline EV is anti-Momentum: on stocks where Momentum says “long winner”, EV often says “short winner (now expensive)”. Those opposing positions partially cancel at the WFC active-weight level, providing a free vol reduction baked into the Baseline architecture. PMOM-neut on EV removes that anti-M tilt, so the cancellation is partially lost and the composite holds slightly larger net positions on those stocks. Cross-universe, WFC[EV] vol is +4 bps in Low DD and +9 bps in High DD — small, in the predicted direction, and enough to eat the +5 bps Low DD return improvement. The vol effect is concentrated in developed-market universes where V and M are most anti-correlated; this is consistent with the overlap mechanism and warrants follow-up.</w:t>
      </w:r>
    </w:p>
    <w:p>
      <w:pPr>
        <w:pBdr>
          <w:top w:val="none" w:color="auto" w:sz="0"/>
          <w:left w:val="single" w:color="9CC3E5" w:sz="24" w:space="12"/>
          <w:bottom w:val="none" w:color="auto" w:sz="0"/>
          <w:right w:val="none" w:color="auto" w:sz="0"/>
        </w:pBdr>
        <w:spacing w:after="120" w:before="120"/>
        <w:ind w:left="240"/>
      </w:pPr>
      <w:r>
        <w:rPr>
          <w:rFonts w:ascii="Arial" w:cs="Arial" w:eastAsia="Arial" w:hAnsi="Arial"/>
          <w:i/>
          <w:iCs/>
          <w:color w:val="404040"/>
          <w:sz w:val="22"/>
          <w:szCs w:val="22"/>
        </w:rPr>
        <w:t xml:space="preserve">Footnote — composite-level PMOM correlation. Today’s plumbing diagnostics confirm the dilution intuition directly at the score level. |ρ(PMR_B_WFP, PMOM_3SLOW)| ≈ 0.318 and |ρ(PMR_EVP_WFP, PMOM_3SLOW)| ≈ 0.323 — indistinguishable. The composite’s overall PMOM exposure is dominated by its 1/3 weight on Momentum_3SLOW (|ρ| ≈ 0.61 alone). EV’s PMOM cleanup contributes roughly 8% of the composite as PMOM-clean signal (1/3 × 0.253 ≈ 0.084 from the EV weight in the Value-EV recipe) — too small to register at the composite’s score-level PMOM correlation. Full WFC[V·Q] only reduces composite |ρ| to ~0.29, because the Momentum third stays Baseline by design.</w:t>
      </w:r>
    </w:p>
    <w:p>
      <w:pPr>
        <w:pStyle w:val="Heading2"/>
        <w:spacing w:after="160" w:before="280"/>
      </w:pPr>
      <w:r>
        <w:rPr>
          <w:rFonts w:ascii="Arial" w:cs="Arial" w:eastAsia="Arial" w:hAnsi="Arial"/>
          <w:b/>
          <w:bCs/>
          <w:color w:val="1F4E79"/>
          <w:sz w:val="28"/>
          <w:szCs w:val="28"/>
        </w:rPr>
        <w:t xml:space="preserve">Section 3 summary</w:t>
      </w:r>
    </w:p>
    <w:p>
      <w:pPr>
        <w:spacing w:after="80" w:before="80"/>
      </w:pPr>
      <w:r>
        <w:rPr>
          <w:rFonts w:ascii="Arial" w:cs="Arial" w:eastAsia="Arial" w:hAnsi="Arial"/>
          <w:b w:val="false"/>
          <w:bCs w:val="false"/>
          <w:i w:val="false"/>
          <w:iCs w:val="false"/>
          <w:sz w:val="22"/>
          <w:szCs w:val="22"/>
        </w:rPr>
        <w:t xml:space="preserve">Section 3 confirms the Section 2 EV finding at the composite level in the predicted direction: Low DD return is positive in every universe under WFC[EV] (+5 bps cross-universe, sign-consistent 5/5). The magnitude is small and IR does not move, because the small return improvement is offset by a small vol increase from the partial loss of V/M overlap diversification.</w:t>
      </w:r>
    </w:p>
    <w:p>
      <w:pPr>
        <w:spacing w:after="80" w:before="80"/>
      </w:pPr>
      <w:r>
        <w:rPr>
          <w:rFonts w:ascii="Arial" w:cs="Arial" w:eastAsia="Arial" w:hAnsi="Arial"/>
          <w:b w:val="false"/>
          <w:bCs w:val="false"/>
          <w:i w:val="false"/>
          <w:iCs w:val="false"/>
          <w:sz w:val="22"/>
          <w:szCs w:val="22"/>
        </w:rPr>
        <w:t xml:space="preserve">Two mechanisms explain the gap between Section 2 and Section 3. The first is dilution: EV is ~12.5% of the WFC by construction, so a +0.10 IR effect at the theme scales to ~+0.012 IR at the composite. The second is the loss of V/M overlap: PMOM-neut on EV removes an anti-Momentum tilt that was implicitly diversifying the Baseline composite, and the resulting vol increase eats the return improvement. The vol effect appears largest in developed-market universes where V and M are most anti-correlated — a pattern worth dissecting in follow-up work.</w:t>
      </w:r>
    </w:p>
    <w:p>
      <w:pPr>
        <w:spacing w:after="80" w:before="80"/>
      </w:pPr>
      <w:r>
        <w:rPr>
          <w:rFonts w:ascii="Arial" w:cs="Arial" w:eastAsia="Arial" w:hAnsi="Arial"/>
          <w:b w:val="false"/>
          <w:bCs w:val="false"/>
          <w:i w:val="false"/>
          <w:iCs w:val="false"/>
          <w:sz w:val="22"/>
          <w:szCs w:val="22"/>
        </w:rPr>
        <w:t xml:space="preserve">The directional consistency between Section 2 and Section 3 supports the Section 2 implementation recommendation extended to the composite: </w:t>
      </w:r>
      <w:r>
        <w:rPr>
          <w:rFonts w:ascii="Arial" w:cs="Arial" w:eastAsia="Arial" w:hAnsi="Arial"/>
          <w:b/>
          <w:bCs/>
          <w:i w:val="false"/>
          <w:iCs w:val="false"/>
          <w:sz w:val="22"/>
          <w:szCs w:val="22"/>
        </w:rPr>
        <w:t xml:space="preserve">regime-conditional application of PMOM-neut</w:t>
      </w:r>
      <w:r>
        <w:rPr>
          <w:rFonts w:ascii="Arial" w:cs="Arial" w:eastAsia="Arial" w:hAnsi="Arial"/>
          <w:b w:val="false"/>
          <w:bCs w:val="false"/>
          <w:i w:val="false"/>
          <w:iCs w:val="false"/>
          <w:sz w:val="22"/>
          <w:szCs w:val="22"/>
        </w:rPr>
        <w:t xml:space="preserve"> — apply in Low DD to capture the small theory-predicted return improvement, don’t apply in High DD where the cost (−8 bps return, +9 bps vol cross-universe) compounds against IR. Note that production WFC already DD-times the super-factor weights, underweighting Value in Low DD; the marginal effect of WFC[EV] inside DD-timed live weights would be smaller still than the static-weight numbers reported here.</w:t>
      </w:r>
    </w:p>
    <w:p>
      <w:pPr>
        <w:spacing w:after="80" w:before="80"/>
      </w:pPr>
      <w:r>
        <w:rPr>
          <w:rFonts w:ascii="Arial" w:cs="Arial" w:eastAsia="Arial" w:hAnsi="Arial"/>
          <w:b w:val="false"/>
          <w:bCs w:val="false"/>
          <w:i w:val="false"/>
          <w:iCs w:val="false"/>
          <w:sz w:val="22"/>
          <w:szCs w:val="22"/>
        </w:rPr>
        <w:t xml:space="preserve">The magnitude shortfall is the open question. Two natural follow-up paths:</w:t>
      </w:r>
    </w:p>
    <w:p>
      <w:pPr>
        <w:pStyle w:val="ListParagraph"/>
        <w:numPr>
          <w:ilvl w:val="0"/>
          <w:numId w:val="2"/>
        </w:numPr>
        <w:spacing w:after="60" w:before="60"/>
      </w:pPr>
      <w:r>
        <w:rPr>
          <w:rFonts w:ascii="Arial" w:cs="Arial" w:eastAsia="Arial" w:hAnsi="Arial"/>
          <w:b/>
          <w:bCs/>
          <w:i w:val="false"/>
          <w:iCs w:val="false"/>
          <w:sz w:val="22"/>
          <w:szCs w:val="22"/>
        </w:rPr>
        <w:t xml:space="preserve">Re-architect the WFC</w:t>
      </w:r>
      <w:r>
        <w:rPr>
          <w:rFonts w:ascii="Arial" w:cs="Arial" w:eastAsia="Arial" w:hAnsi="Arial"/>
          <w:b w:val="false"/>
          <w:bCs w:val="false"/>
          <w:i w:val="false"/>
          <w:iCs w:val="false"/>
          <w:sz w:val="22"/>
          <w:szCs w:val="22"/>
        </w:rPr>
        <w:t xml:space="preserve"> so the contribution of each super factor is sized independently — separate optimizations per leg combined at the position level, or explicit risk budgets per leg in the composite optimization. This makes the EV-level signal stand on its own rather than being averaged into a static 1/3 weight.</w:t>
      </w:r>
    </w:p>
    <w:p>
      <w:pPr>
        <w:pStyle w:val="ListParagraph"/>
        <w:numPr>
          <w:ilvl w:val="0"/>
          <w:numId w:val="2"/>
        </w:numPr>
        <w:spacing w:after="60" w:before="60"/>
      </w:pPr>
      <w:r>
        <w:rPr>
          <w:rFonts w:ascii="Arial" w:cs="Arial" w:eastAsia="Arial" w:hAnsi="Arial"/>
          <w:b/>
          <w:bCs/>
          <w:i w:val="false"/>
          <w:iCs w:val="false"/>
          <w:sz w:val="22"/>
          <w:szCs w:val="22"/>
        </w:rPr>
        <w:t xml:space="preserve">Apply neutralization downstream of the composite</w:t>
      </w:r>
      <w:r>
        <w:rPr>
          <w:rFonts w:ascii="Arial" w:cs="Arial" w:eastAsia="Arial" w:hAnsi="Arial"/>
          <w:b w:val="false"/>
          <w:bCs w:val="false"/>
          <w:i w:val="false"/>
          <w:iCs w:val="false"/>
          <w:sz w:val="22"/>
          <w:szCs w:val="22"/>
        </w:rPr>
        <w:t xml:space="preserve"> rather than upstream in the score — modify the resulting WFC active weights to remove residual PMOM exposure post-optimization, or use a regime-conditional rule that selects Baseline vs PMOM-neut composites based on DD state.</w:t>
      </w:r>
    </w:p>
    <w:p>
      <w:pPr>
        <w:spacing w:after="80" w:before="80"/>
      </w:pPr>
      <w:r>
        <w:rPr>
          <w:rFonts w:ascii="Arial" w:cs="Arial" w:eastAsia="Arial" w:hAnsi="Arial"/>
          <w:b w:val="false"/>
          <w:bCs w:val="false"/>
          <w:i w:val="false"/>
          <w:iCs w:val="false"/>
          <w:sz w:val="22"/>
          <w:szCs w:val="22"/>
        </w:rPr>
        <w:t xml:space="preserve">Both are open. For the immediate decision, the takeaway is: the factor-theme finding from Section 2 propagates to the composite at the predicted magnitude in the predicted direction; capturing it at a scale that moves WFC IR is an architectural question for follow-up.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40" w:before="22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Claude</dc:creator>
  <cp:lastModifiedBy>Un-named</cp:lastModifiedBy>
  <cp:revision>1</cp:revision>
  <dcterms:created xsi:type="dcterms:W3CDTF">2026-05-20T23:25:37.441Z</dcterms:created>
  <dcterms:modified xsi:type="dcterms:W3CDTF">2026-05-20T23:25:37.442Z</dcterms:modified>
</cp:coreProperties>
</file>

<file path=docProps/custom.xml><?xml version="1.0" encoding="utf-8"?>
<Properties xmlns="http://schemas.openxmlformats.org/officeDocument/2006/custom-properties" xmlns:vt="http://schemas.openxmlformats.org/officeDocument/2006/docPropsVTypes"/>
</file>