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7E3CFD" w:rsidRDefault="002B5149" w:rsidP="007E3CFD">
      <w:bookmarkStart w:id="0" w:name="_GoBack"/>
      <w:bookmarkEnd w:id="0"/>
    </w:p>
    <w:p>
      <w:pPr>
        <w:pStyle w:val="Subtitle"/>
      </w:pPr>
      <w:r>
        <w:rPr>
          <w:b/>
        </w:rPr>
        <w:t>Executive Summary</w:t>
      </w:r>
    </w:p>
    <w:p>
      <w:pPr>
        <w:pStyle w:val="Subtitle"/>
      </w:pPr>
      <w:r>
        <w:rPr>
          <w:b/>
        </w:rPr>
        <w:t xml:space="preserve">Schley County, </w:t>
      </w:r>
      <w:r>
        <w:rPr>
          <w:b/>
        </w:rPr>
        <w:t>PI No. 1234567</w:t>
      </w:r>
    </w:p>
    <w:p>
      <w:pPr>
        <w:pStyle w:val="Subtitle"/>
      </w:pPr>
      <w:r>
        <w:rPr>
          <w:b/>
        </w:rPr>
        <w:t>Main Street at Roberts Lane</w:t>
      </w:r>
    </w:p>
    <w:p>
      <w:pPr>
        <w:pStyle w:val="Subtitle"/>
      </w:pPr>
      <w:r>
        <w:rPr>
          <w:b/>
        </w:rPr>
        <w:t>January 2016</w:t>
      </w:r>
    </w:p>
    <w:p>
      <w:pPr>
        <w:pStyle w:val="NoSpacing"/>
      </w:pPr>
      <w:r>
        <w:rPr>
          <w:b/>
        </w:rPr>
        <w:t xml:space="preserve">Project Description: </w:t>
      </w:r>
      <w:r>
        <w:rPr>
          <w:color w:val="FF0000"/>
        </w:rPr>
        <w:t>Lorem ipsum dolor sit amet, consectetur adipiscing elit. Sed sed tristique felis. Nullam scelerisque ligula eu magna elementum interdum. In sed consequat turpis, porttitor mollis leo. Suspendisse blandit tincidunt ante, aliquam semper lacus volutpat sit amet. Maecenas scelerisque maximus metus eu mattis. Curabitur sit amet nibh bibendum, vehicula ante a, porta lacus. Vestibulum elementum cursus ligula, suscipit consequat augue luctus quis. Nulla facilisi. Nam quis sem ex. Maecenas accumsan ligula ut lorem dapibus, in sagittis sapien dignissim. In eget fermentum nisl. Sed pretium nibh lectus, ut accumsan dolor volutpat nec. Ut sed est non augue vulputate vehicula ac ut felis. Sed accumsan tristique dolor nec maximus. Ut bibendum massa sit amet rhoncus mollis.</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has been evaluated by an interagency group consisting of Federal Highway Administration (FHWA), Environmental Protection Agency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w:t>
      </w:r>
    </w:p>
    <w:p>
      <w:pPr>
        <w:pStyle w:val="NoSpacing"/>
      </w:pPr>
      <w:r>
        <w:rPr>
          <w:b/>
        </w:rPr>
        <w:t xml:space="preserve">CO Modeling Assumptions: </w:t>
      </w:r>
      <w:r>
        <w:t>The highest 1-hour CO concentration of 3.2 ppm in the 2037 design year is projected at Receptor 8, located in the all quadrant of the studied intersection. This value is lower than the maximum allowable NAAQS for the one-hour level of 35 ppm and the eight-hour level of 9 ppm.</w:t>
      </w:r>
    </w:p>
    <w:p>
      <w:pPr>
        <w:pStyle w:val="NoSpacing"/>
      </w:pPr>
      <w:r>
        <w:rPr>
          <w:b/>
        </w:rPr>
        <w:t xml:space="preserve">MSAT: </w:t>
      </w:r>
      <w:r>
        <w:t>The proposed project is classified as a project with low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January 2016</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rPr>
          <w:color w:val="FF0000"/>
        </w:rPr>
        <w:t>Lorem ipsum dolor sit amet, consectetur adipiscing elit. Sed sed tristique felis. Nullam scelerisque ligula eu magna elementum interdum. In sed consequat turpis, porttitor mollis leo. Suspendisse blandit tincidunt ante, aliquam semper lacus volutpat sit amet. Maecenas scelerisque maximus metus eu mattis. Curabitur sit amet nibh bibendum, vehicula ante a, porta lacus. Vestibulum elementum cursus ligula, suscipit consequat augue luctus quis. Nulla facilisi. Nam quis sem ex. Maecenas accumsan ligula ut lorem dapibus, in sagittis sapien dignissim. In eget fermentum nisl. Sed pretium nibh lectus, ut accumsan dolor volutpat nec. Ut sed est non augue vulputate vehicula ac ut felis. Sed accumsan tristique dolor nec maximus. Ut bibendum massa sit amet rhoncus mollis.</w:t>
      </w:r>
    </w:p>
    <w:p>
      <w:pPr>
        <w:pStyle w:val="Heading2"/>
      </w:pPr>
      <w:r>
        <w:t>What Criteria Pollutants Are Studied?</w:t>
      </w:r>
    </w:p>
    <w:p>
      <w:r>
        <w:t>The NAAQS have been established for air pollutants that have been identified by the EPA as being of concern nationwide (</w:t>
      </w:r>
      <w:r>
        <w:rPr>
          <w:color w:val="FF0000"/>
        </w:rPr>
        <w:t>see Table 1 on page 3</w:t>
      </w:r>
      <w:r>
        <w:t>).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Mobile Source Air Toxics (MSATs).</w:t>
      </w:r>
    </w:p>
    <w:p>
      <w:pPr>
        <w:pStyle w:val="FigureCaption"/>
      </w:pPr>
      <w:r>
        <w:t>Table 1. Pollutant Descriptions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Pollutant</w:t>
            </w:r>
          </w:p>
        </w:tc>
        <w:tc>
          <w:tcPr>
            <w:tcW w:type="dxa" w:w="4680"/>
          </w:tcPr>
          <w:p>
            <w:pPr>
              <w:pStyle w:val="TblCentered"/>
            </w:pPr>
            <w:r>
              <w:t>Description</w:t>
            </w:r>
          </w:p>
        </w:tc>
      </w:tr>
      <w:tr>
        <w:tc>
          <w:tcPr>
            <w:tcW w:type="dxa" w:w="4680"/>
          </w:tcPr>
          <w:p>
            <w:pPr>
              <w:pStyle w:val="TblCentered"/>
            </w:pPr>
            <w:r>
              <w:t>Carbon Monoxide</w:t>
            </w:r>
          </w:p>
        </w:tc>
        <w:tc>
          <w:tcPr>
            <w:tcW w:type="dxa" w:w="4680"/>
          </w:tcPr>
          <w:p>
            <w:pPr>
              <w:pStyle w:val="TblCentered"/>
            </w:pPr>
            <w:r>
              <w:t>Carbon monoxide is a colorless, odorless, poisonous gas formed when carbon in fuels is not burned completely.</w:t>
            </w:r>
          </w:p>
        </w:tc>
      </w:tr>
      <w:tr>
        <w:tc>
          <w:tcPr>
            <w:tcW w:type="dxa" w:w="4680"/>
          </w:tcPr>
          <w:p>
            <w:pPr>
              <w:pStyle w:val="TblCentered"/>
            </w:pPr>
            <w:r>
              <w:t>Lead</w:t>
            </w:r>
          </w:p>
        </w:tc>
        <w:tc>
          <w:tcPr>
            <w:tcW w:type="dxa" w:w="4680"/>
          </w:tcPr>
          <w:p>
            <w:pPr>
              <w:pStyle w:val="TblCentered"/>
            </w:pPr>
            <w:r>
              <w:t>Lead is a chemical element in the carbon group. Lead is a soft, malleable and heavy post-transition metal.</w:t>
            </w:r>
          </w:p>
        </w:tc>
      </w:tr>
      <w:tr>
        <w:tc>
          <w:tcPr>
            <w:tcW w:type="dxa" w:w="4680"/>
          </w:tcPr>
          <w:p>
            <w:pPr>
              <w:pStyle w:val="TblCentered"/>
            </w:pPr>
            <w:r>
              <w:t>Nitrogen Dioxide</w:t>
            </w:r>
          </w:p>
        </w:tc>
        <w:tc>
          <w:tcPr>
            <w:tcW w:type="dxa" w:w="4680"/>
          </w:tcPr>
          <w:p>
            <w:pPr>
              <w:pStyle w:val="TblCentered"/>
            </w:pPr>
            <w:r>
              <w:t>Nitrogen dioxide belongs to a family of highly reactive gases called nitrogen oxides (NOx). A suffocating, brownish gas, nitrogen dioxide is a strong oxidizing agent that reacts in the air to form corrosive nitric acid, as well as toxic organic nitrates.</w:t>
            </w:r>
          </w:p>
        </w:tc>
      </w:tr>
      <w:tr>
        <w:tc>
          <w:tcPr>
            <w:tcW w:type="dxa" w:w="4680"/>
          </w:tcPr>
          <w:p>
            <w:pPr>
              <w:pStyle w:val="TblCentered"/>
            </w:pPr>
            <w:r>
              <w:t>Particulate Matter</w:t>
            </w:r>
          </w:p>
        </w:tc>
        <w:tc>
          <w:tcPr>
            <w:tcW w:type="dxa" w:w="4680"/>
          </w:tcPr>
          <w:p>
            <w:pPr>
              <w:pStyle w:val="TblCentered"/>
            </w:pPr>
            <w:r>
              <w:t>Particulate matter is the term for solid or liquid particles found in the air.</w:t>
            </w:r>
          </w:p>
        </w:tc>
      </w:tr>
      <w:tr>
        <w:tc>
          <w:tcPr>
            <w:tcW w:type="dxa" w:w="4680"/>
          </w:tcPr>
          <w:p>
            <w:pPr>
              <w:pStyle w:val="TblCentered"/>
            </w:pPr>
            <w:r>
              <w:t>Ozone</w:t>
            </w:r>
          </w:p>
        </w:tc>
        <w:tc>
          <w:tcPr>
            <w:tcW w:type="dxa" w:w="4680"/>
          </w:tcPr>
          <w:p>
            <w:pPr>
              <w:pStyle w:val="TblCentered"/>
            </w:pPr>
            <w:r>
              <w:t>Ground-level ozone (the primary constituent of smog.) Ozone is created by sunlight acting on NOx and VOC in the air.</w:t>
            </w:r>
          </w:p>
        </w:tc>
      </w:tr>
      <w:tr>
        <w:tc>
          <w:tcPr>
            <w:tcW w:type="dxa" w:w="4680"/>
          </w:tcPr>
          <w:p>
            <w:pPr>
              <w:pStyle w:val="TblCentered"/>
            </w:pPr>
            <w:r>
              <w:t>Sulfur Dioxide</w:t>
            </w:r>
          </w:p>
        </w:tc>
        <w:tc>
          <w:tcPr>
            <w:tcW w:type="dxa" w:w="4680"/>
          </w:tcPr>
          <w:p>
            <w:pPr>
              <w:pStyle w:val="TblCentered"/>
            </w:pPr>
            <w:r>
              <w:t>These gases are formed when fuel containing sulfur (mainly coal and oil) is burned, and during metal smelting and other industrial processes.</w:t>
            </w:r>
          </w:p>
        </w:tc>
      </w:tr>
    </w:tbl>
    <w:p>
      <w:pPr>
        <w:pStyle w:val="SpaceBefore"/>
      </w:pPr>
      <w:r>
        <w:t xml:space="preserve">The EPA's regulations on Pb are focused on smelter and battery plants, the major sources of Pb in the air. A regulatory ban on the introduction of gasoline produced with the use of any lead additive was issued as of January 1, 1996. In the United States, sulfur levels in fuel have been slowly ratcheted down. The EPA's </w:t>
      </w:r>
      <w:r>
        <w:rPr>
          <w:u w:val="single"/>
        </w:rPr>
        <w:t>Gasoline Sulfur</w:t>
      </w:r>
      <w:r>
        <w:t xml:space="preserve"> program in effect (2004-2007) reduced the sulfur content of gasoline by up to 90 percent from uncontrolled levels. In addition, the Gasoline Sulfur program aims to lower sulfur content of gasoline to 10 parts per million (ppm) averages by 2017. A 15 ppm sulfur specification, known as Ultra Low Sulfur Diesel (ULSD), was phased in for highway diesel fuel from 2006-2010. In addition, Georgia is in attainment for Pb and SO</w:t>
      </w:r>
      <w:r>
        <w:rPr>
          <w:vertAlign w:val="subscript"/>
        </w:rPr>
        <w:t>2</w:t>
      </w:r>
      <w:r>
        <w:t>; therefore, no further documentation is required.</w:t>
      </w:r>
    </w:p>
    <w:p>
      <w:r>
        <w:t>Georgia is in attainment for NO</w:t>
      </w:r>
      <w:r>
        <w:rPr>
          <w:vertAlign w:val="subscript"/>
        </w:rPr>
        <w:t>2</w:t>
      </w:r>
      <w:r>
        <w:t xml:space="preserve"> &amp; </w:t>
      </w:r>
      <w:r>
        <w:t>PM</w:t>
      </w:r>
      <w:r>
        <w:rPr>
          <w:vertAlign w:val="subscript"/>
        </w:rPr>
        <w:t>10</w:t>
      </w:r>
      <w:r>
        <w:t>; therefore, no further documentation is required.</w:t>
      </w:r>
    </w:p>
    <w:p>
      <w:r>
        <w:t>Due to their association with roadway transportation sources, O</w:t>
      </w:r>
      <w:r>
        <w:rPr>
          <w:vertAlign w:val="subscript"/>
        </w:rPr>
        <w:t>3</w:t>
      </w:r>
      <w:r>
        <w:t>, CO</w:t>
      </w:r>
      <w:r>
        <w:t>, PM</w:t>
      </w:r>
      <w:r>
        <w:rPr>
          <w:vertAlign w:val="subscript"/>
        </w:rPr>
        <w:t>2.5</w:t>
      </w:r>
      <w:r>
        <w:t>, and MSATs are typically reviewed for potential effects on nearby receptors with respect to roadway projects.</w:t>
      </w:r>
    </w:p>
    <w:tbl>
      <w:tblPr>
        <w:tblStyle w:val="PMTableOutline"/>
        <w:tblW w:type="auto" w:w="0"/>
        <w:tblLook w:firstColumn="1" w:firstRow="1" w:lastColumn="0" w:lastRow="0" w:noHBand="0" w:noVBand="1" w:val="04A0"/>
      </w:tblPr>
      <w:tblGrid>
        <w:gridCol w:w="4680"/>
        <w:gridCol w:w="4680"/>
      </w:tblGrid>
      <w:tr>
        <w:tc>
          <w:tcPr>
            <w:tcW w:type="dxa" w:w="4680"/>
          </w:tcPr>
          <w:p>
            <w:pPr>
              <w:pStyle w:val="TblCentered"/>
            </w:pPr>
            <w:r>
              <w:rPr>
                <w:b/>
              </w:rPr>
              <w:t>Particulate Matter (PM)</w:t>
            </w:r>
          </w:p>
          <w:p/>
          <w:p>
            <w:r>
              <w:t>Coarse dust particles (PM</w:t>
            </w:r>
            <w:r>
              <w:rPr>
                <w:vertAlign w:val="subscript"/>
              </w:rPr>
              <w:t>10</w:t>
            </w:r>
            <w:r>
              <w:t>) are 2.5 to 10 micrometers in diameter. Sources include crushing or grinding operations and dust stirred up by vehicles on roads.</w:t>
            </w:r>
          </w:p>
          <w:p/>
          <w:p>
            <w:r>
              <w:t>Fine particles (PM</w:t>
            </w:r>
            <w:r>
              <w:rPr>
                <w:vertAlign w:val="subscript"/>
              </w:rPr>
              <w:t>2.5</w:t>
            </w:r>
            <w:r>
              <w:t>) are 2.5 micrometers in diameter or smaller, and can only be seen with an electron microscope. Fine particles are produced from all types of combustion, including motor vehicles, power plants, residential wood burning, forest fires, agricultural burning, and some industrial processes.</w:t>
            </w:r>
          </w:p>
        </w:tc>
        <w:tc>
          <w:tcPr>
            <w:tcW w:type="dxa" w:w="4680"/>
          </w:tcPr>
          <w:p>
            <w:pPr>
              <w:pStyle w:val="TblCentered"/>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pm.jpg"/>
                          <pic:cNvPicPr/>
                        </pic:nvPicPr>
                        <pic:blipFill>
                          <a:blip r:embed="rId17"/>
                          <a:stretch>
                            <a:fillRect/>
                          </a:stretch>
                        </pic:blipFill>
                        <pic:spPr>
                          <a:xfrm>
                            <a:off x="0" y="0"/>
                            <a:ext cx="3657600" cy="2743200"/>
                          </a:xfrm>
                          <a:prstGeom prst="rect"/>
                        </pic:spPr>
                      </pic:pic>
                    </a:graphicData>
                  </a:graphic>
                </wp:inline>
              </w:drawing>
            </w:r>
          </w:p>
        </w:tc>
      </w:tr>
    </w:tbl>
    <w:p>
      <w:pPr>
        <w:pStyle w:val="Heading2"/>
      </w:pPr>
      <w:r>
        <w:t>Is this Project in an Ozone (O</w:t>
      </w:r>
      <w:r>
        <w:rPr>
          <w:vertAlign w:val="subscript"/>
        </w:rPr>
        <w:t>3</w:t>
      </w:r>
      <w:r>
        <w:t>) Non-Attainment Area?</w:t>
      </w:r>
    </w:p>
    <w:p>
      <w:r>
        <w:t xml:space="preserve">This project is in an area where the SIP contains transportation control measures. The CAA requires Transportation Plans and Transportation Improvement Programs (TIP) in areas not meeting the NAAQS to conform to the emissions budget of the SIP for air quality. </w:t>
      </w:r>
      <w:r>
        <w:rPr>
          <w:color w:val="FF0000"/>
        </w:rPr>
        <w:t>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rPr>
          <w:color w:val="FF0000"/>
        </w:rP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w:t>
      </w:r>
      <w:r>
        <w:rPr>
          <w:color w:val="FF0000"/>
        </w:rPr>
        <w:t>see Table 2. LOS, below</w:t>
      </w:r>
      <w:r>
        <w:t>). The LOS for signalized intersections is determined by calculating the average control delay per vehicle for the intersection, i.e., the average amount of time it takes a vehicle to get through the intersection.</w:t>
      </w:r>
    </w:p>
    <w:p>
      <w:pPr>
        <w:pStyle w:val="FigureCaption"/>
      </w:pPr>
      <w:r>
        <w:t>Table 2.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pPr>
        <w:pStyle w:val="SpaceBefore"/>
      </w:pPr>
      <w:r>
        <w:t>The proposed project has SR 41 at Cedarcrest Road/Awtrey Church Road signalized intersection(s) that would operate at a LOS of D, E, or F in the 2037 design year.</w:t>
      </w:r>
    </w:p>
    <w:p>
      <w:r>
        <w:t>The intersection of SR 41 at Cedarcrest Road/Awtrey Church Road has the highest traffic volume at the worst level of service (</w:t>
      </w:r>
      <w:r>
        <w:rPr>
          <w:color w:val="FF0000"/>
        </w:rPr>
        <w:t>see Table 3, below</w:t>
      </w:r>
      <w:r>
        <w:t>). Therefore, this intersection has been chosen as a representative intersection. The results of this intersection are considered the worst case for the project corridor.</w:t>
      </w:r>
    </w:p>
    <w:p>
      <w:pPr>
        <w:pStyle w:val="FigureCaption"/>
      </w:pPr>
      <w:r>
        <w:t>Table 3. Signalized Intersections (LOS)</w:t>
      </w:r>
    </w:p>
    <w:tbl>
      <w:tblPr>
        <w:tblStyle w:val="LightShading"/>
        <w:tblW w:type="auto" w:w="0"/>
        <w:jc w:val="center"/>
        <w:tblLook w:firstColumn="1" w:firstRow="1" w:lastColumn="0" w:lastRow="0" w:noHBand="0" w:noVBand="1" w:val="04A0"/>
      </w:tblPr>
      <w:tblGrid>
        <w:gridCol w:w="3120"/>
        <w:gridCol w:w="3120"/>
        <w:gridCol w:w="3120"/>
      </w:tblGrid>
      <w:tr>
        <w:tc>
          <w:tcPr>
            <w:tcW w:type="dxa" w:w="3120"/>
          </w:tcPr>
          <w:p>
            <w:pPr>
              <w:pStyle w:val="TblCentered"/>
            </w:pPr>
            <w:r>
              <w:t>Signalized Intersection</w:t>
            </w:r>
          </w:p>
        </w:tc>
        <w:tc>
          <w:tcPr>
            <w:tcW w:type="dxa" w:w="3120"/>
          </w:tcPr>
          <w:p>
            <w:pPr>
              <w:pStyle w:val="TblCentered"/>
            </w:pPr>
            <w:r>
              <w:t>Daily Traffic</w:t>
            </w:r>
          </w:p>
        </w:tc>
        <w:tc>
          <w:tcPr>
            <w:tcW w:type="dxa" w:w="3120"/>
          </w:tcPr>
          <w:p>
            <w:pPr>
              <w:pStyle w:val="TblCentered"/>
            </w:pPr>
            <w:r>
              <w:t>LOS</w:t>
            </w:r>
          </w:p>
        </w:tc>
      </w:tr>
      <w:tr>
        <w:tc>
          <w:tcPr>
            <w:tcW w:type="dxa" w:w="3120"/>
          </w:tcPr>
          <w:p>
            <w:pPr>
              <w:pStyle w:val="TblCentered"/>
            </w:pPr>
            <w:r>
              <w:t>Roberts Drive at Main Street</w:t>
            </w:r>
          </w:p>
        </w:tc>
        <w:tc>
          <w:tcPr>
            <w:tcW w:type="dxa" w:w="3120"/>
          </w:tcPr>
          <w:p>
            <w:pPr>
              <w:pStyle w:val="TblCentered"/>
            </w:pPr>
            <w:r>
              <w:t>ADT or AADT Traffic</w:t>
            </w:r>
          </w:p>
        </w:tc>
        <w:tc>
          <w:tcPr>
            <w:tcW w:type="dxa" w:w="3120"/>
          </w:tcPr>
          <w:p>
            <w:pPr>
              <w:pStyle w:val="TblCentered"/>
            </w:pPr>
            <w:r>
              <w:t>D, E, or F</w:t>
            </w:r>
          </w:p>
        </w:tc>
      </w:tr>
    </w:tbl>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 case" analysis. The term "worst case" is frequently used in air quality impact analyses. The approach is to use a set of "worst case" meteorological conditions: lowest realistic wind speed, worst reasonable stability class, lowest reasonable temperature, highest expected traffic volumes, emissions associated with peak speeds, and closest reasonable receptor locations. If the "worst 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(92% passenger cars; 3% heavy trucks; 5% medium trucks), design year (2037), road type (rural unrestricted access), and speed limit (15-55 MPH). All emissions factors were based on temperatures under 70 degrees in the 13-county region (</w:t>
      </w:r>
      <w:r>
        <w:rPr>
          <w:color w:val="FF0000"/>
        </w:rPr>
        <w:t>see Appendix B for emission factor worksheets).</w:t>
      </w:r>
    </w:p>
    <w:p>
      <w:r>
        <w:t>Meteorological inputs to the CAL3QHC model were those that would give the worst 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w:t>
      </w:r>
      <w:r>
        <w:rPr>
          <w:color w:val="FF0000"/>
        </w:rPr>
        <w:t>see Table 4, below</w:t>
      </w:r>
      <w:r>
        <w:t>). All roadway segments were modeled as at-grade facilities. Peak PM hourly traffic volumes were used as the worst case conditions for the one-hour analysis.</w:t>
      </w:r>
    </w:p>
    <w:p>
      <w:r>
        <w:t>The background concentration is usually defined as the concentration immediately upwind of the source. Through an agreement with the Georgia EPD, background CO concentration is considered to be only a small portion of the total input to the micro scale analysis. A background concentration of 1 ppm is added for rural areas, 2 ppm for suburban areas, and 3 ppm for urban areas. This area is SUBURBAN, therefore a background concentration of 2 ppm has been added to the air quality dispersion modeling results. The intersection of SR 41 at Cedarcrest Road/Awtrey Church Road was analyzed for the 2015 existing, 2037 build and no-build alternatives (</w:t>
      </w:r>
      <w:r>
        <w:rPr>
          <w:color w:val="FF0000"/>
        </w:rPr>
        <w:t>see Appendix C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4.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pPr>
        <w:pStyle w:val="SpaceBefore"/>
      </w:pPr>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the 2015 existing, and 2037 build and no-build conditions were predicted (</w:t>
      </w:r>
      <w:r>
        <w:rPr>
          <w:color w:val="FF0000"/>
        </w:rPr>
        <w:t>see Table 5., below</w:t>
      </w:r>
      <w:r>
        <w:t xml:space="preserve">). A copy of the model run data input and outputs are included in </w:t>
      </w:r>
      <w:r>
        <w:rPr>
          <w:color w:val="FF0000"/>
        </w:rPr>
        <w:t>Appendix C</w:t>
      </w:r>
      <w:r>
        <w:t>. The highest 1-hour CO concentration of 3.2 in the 2037 design year is projected at receptor 8, located in the all quadrant of the studied intersection. This value is lower than the maximum allowable NAAQS for the one-hour level of 35 ppm and the eight-hour level of 9 ppm. Since the highest one-hour concentration is lower than both the one-hour and eight-hour standards, an eight-hour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r>
              <w:t>Figure 2. Existing/NoBuild</w:t>
            </w:r>
          </w:p>
        </w:tc>
        <w:tc>
          <w:tcPr>
            <w:tcW w:type="dxa" w:w="4680"/>
          </w:tcPr>
          <w:p>
            <w:pPr>
              <w:pStyle w:val="TblCentered"/>
            </w:pPr>
            <w:r/>
            <w:r>
              <w:t>Figure 3. Build</w:t>
            </w:r>
          </w:p>
        </w:tc>
      </w:tr>
    </w:tbl>
    <w:p>
      <w:pPr>
        <w:pStyle w:val="FigureCaption"/>
      </w:pPr>
      <w:r>
        <w:t>Table 5.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FHWA,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 Documentation and correspondence are included in </w:t>
      </w:r>
      <w:r>
        <w:rPr>
          <w:color w:val="FF0000"/>
        </w:rPr>
        <w:t>Appendix D</w:t>
      </w:r>
      <w:r>
        <w:t>.</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1,3-butadiene,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2" name="Picture 2"/>
            <wp:cNvGraphicFramePr>
              <a:graphicFrameLocks noChangeAspect="1"/>
            </wp:cNvGraphicFramePr>
            <a:graphic>
              <a:graphicData uri="http://schemas.openxmlformats.org/drawingml/2006/picture">
                <pic:pic>
                  <pic:nvPicPr>
                    <pic:cNvPr id="0" name="MOVES_Graphic.gif"/>
                    <pic:cNvPicPr/>
                  </pic:nvPicPr>
                  <pic:blipFill>
                    <a:blip r:embed="rId18"/>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VMT, assuming that other variables such as fleet mix are the same for each alternative. The VMT estimated for the Build Alternatives is the same as that of the No-Build Alternative (</w:t>
      </w:r>
      <w:r>
        <w:rPr>
          <w:color w:val="FF0000"/>
        </w:rPr>
        <w:t>see Table 6., below</w:t>
      </w:r>
      <w:r>
        <w:t>). The emissions increase is offset somewhat by lower MSAT emission rates due to increased speeds; according to EPA's MOVES2010b model, emissions of all of the priority MSAT decrease as speed increases.</w:t>
      </w:r>
    </w:p>
    <w:p>
      <w:pPr>
        <w:pStyle w:val="FigureCaption"/>
      </w:pPr>
      <w:r>
        <w:t>Table 6. VMT</w:t>
      </w:r>
    </w:p>
    <w:tbl>
      <w:tblPr>
        <w:tblStyle w:val="LightShading"/>
        <w:tblW w:type="auto" w:w="0"/>
        <w:tblLook w:firstColumn="1" w:firstRow="1" w:lastColumn="0" w:lastRow="0" w:noHBand="0" w:noVBand="1" w:val="04A0"/>
      </w:tblPr>
      <w:tblGrid>
        <w:gridCol w:w="1560"/>
        <w:gridCol w:w="1560"/>
        <w:gridCol w:w="1560"/>
        <w:gridCol w:w="1560"/>
        <w:gridCol w:w="1560"/>
        <w:gridCol w:w="1560"/>
      </w:tblGrid>
      <w:tr>
        <w:tc>
          <w:tcPr>
            <w:tcW w:type="dxa" w:w="1560"/>
          </w:tcPr>
          <w:p>
            <w:r>
              <w:t>Roadway</w:t>
            </w:r>
          </w:p>
        </w:tc>
        <w:tc>
          <w:tcPr>
            <w:tcW w:type="dxa" w:w="1560"/>
          </w:tcPr>
          <w:p>
            <w:r>
              <w:t>Roadway Length (Miles)</w:t>
            </w:r>
          </w:p>
        </w:tc>
        <w:tc>
          <w:tcPr>
            <w:tcW w:type="dxa" w:w="1560"/>
          </w:tcPr>
          <w:p>
            <w:r/>
          </w:p>
        </w:tc>
        <w:tc>
          <w:tcPr>
            <w:tcW w:type="dxa" w:w="1560"/>
          </w:tcPr>
          <w:p>
            <w:r>
              <w:t>Existing</w:t>
            </w:r>
          </w:p>
        </w:tc>
        <w:tc>
          <w:tcPr>
            <w:tcW w:type="dxa" w:w="1560"/>
          </w:tcPr>
          <w:p>
            <w:r>
              <w:t>No Build</w:t>
            </w:r>
          </w:p>
        </w:tc>
        <w:tc>
          <w:tcPr>
            <w:tcW w:type="dxa" w:w="1560"/>
          </w:tcPr>
          <w:p>
            <w:r>
              <w:t>Build</w:t>
            </w:r>
          </w:p>
        </w:tc>
      </w:tr>
      <w:tr>
        <w:tc>
          <w:tcPr>
            <w:tcW w:type="dxa" w:w="1560"/>
            <w:vMerge w:val="restart"/>
          </w:tcPr>
          <w:p>
            <w:pPr>
              <w:pStyle w:val="TblCentered"/>
            </w:pPr>
            <w:r>
              <w:t>Peachtree Road/SR 134</w:t>
            </w:r>
          </w:p>
        </w:tc>
        <w:tc>
          <w:tcPr>
            <w:tcW w:type="dxa" w:w="1560"/>
            <w:vMerge w:val="restart"/>
          </w:tcPr>
          <w:p>
            <w:pPr>
              <w:pStyle w:val="TblCentered"/>
            </w:pPr>
            <w:r>
              <w:t>1.7</w:t>
            </w:r>
          </w:p>
        </w:tc>
        <w:tc>
          <w:tcPr>
            <w:tcW w:type="dxa" w:w="1560"/>
          </w:tcPr>
          <w:p>
            <w:pPr>
              <w:pStyle w:val="TblCentered"/>
            </w:pPr>
            <w:r>
              <w:t>ADT</w:t>
            </w:r>
          </w:p>
        </w:tc>
        <w:tc>
          <w:tcPr>
            <w:tcW w:type="dxa" w:w="1560"/>
          </w:tcPr>
          <w:p>
            <w:pPr>
              <w:pStyle w:val="TblCentered"/>
            </w:pPr>
            <w:r>
              <w:t>78,545</w:t>
            </w:r>
          </w:p>
        </w:tc>
        <w:tc>
          <w:tcPr>
            <w:tcW w:type="dxa" w:w="1560"/>
          </w:tcPr>
          <w:p>
            <w:pPr>
              <w:pStyle w:val="TblCentered"/>
            </w:pPr>
            <w:r>
              <w:t>101,993</w:t>
            </w:r>
          </w:p>
        </w:tc>
        <w:tc>
          <w:tcPr>
            <w:tcW w:type="dxa" w:w="1560"/>
          </w:tcPr>
          <w:p>
            <w:pPr>
              <w:pStyle w:val="TblCentered"/>
            </w:pPr>
            <w:r>
              <w:t>112,330</w:t>
            </w:r>
          </w:p>
        </w:tc>
      </w:tr>
      <w:tr>
        <w:tc>
          <w:tcPr>
            <w:tcW w:type="dxa" w:w="1560"/>
            <w:vMerge/>
          </w:tcPr>
          <w:p/>
        </w:tc>
        <w:tc>
          <w:tcPr>
            <w:tcW w:type="dxa" w:w="1560"/>
            <w:vMerge/>
          </w:tcPr>
          <w:p/>
        </w:tc>
        <w:tc>
          <w:tcPr>
            <w:tcW w:type="dxa" w:w="1560"/>
          </w:tcPr>
          <w:p>
            <w:pPr>
              <w:pStyle w:val="TblCentered"/>
            </w:pPr>
            <w:r>
              <w:t>VMT</w:t>
            </w:r>
          </w:p>
        </w:tc>
        <w:tc>
          <w:tcPr>
            <w:tcW w:type="dxa" w:w="1560"/>
          </w:tcPr>
          <w:p>
            <w:pPr>
              <w:pStyle w:val="TblCentered"/>
            </w:pPr>
            <w:r>
              <w:t>133,527</w:t>
            </w:r>
          </w:p>
        </w:tc>
        <w:tc>
          <w:tcPr>
            <w:tcW w:type="dxa" w:w="1560"/>
          </w:tcPr>
          <w:p>
            <w:pPr>
              <w:pStyle w:val="TblCentered"/>
            </w:pPr>
            <w:r>
              <w:t>173,389</w:t>
            </w:r>
          </w:p>
        </w:tc>
        <w:tc>
          <w:tcPr>
            <w:tcW w:type="dxa" w:w="1560"/>
          </w:tcPr>
          <w:p>
            <w:pPr>
              <w:pStyle w:val="TblCentered"/>
            </w:pPr>
            <w:r>
              <w:t>190,961</w:t>
            </w:r>
          </w:p>
        </w:tc>
      </w:tr>
    </w:tbl>
    <w:p>
      <w:pPr>
        <w:pStyle w:val="SpaceBefore"/>
      </w:pPr>
      <w:r>
        <w:t>The estimated VMT under the Build Alternative is expected to be the same as that of the No-Build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No-Build Alternative. The localized increases in MSAT concentrations would likely be most pronounced along the sections of Roberts Lane.. However, the magnitude and the duration of these potential increases compared to the No-Build alternative cannot be reliably quantified due to incomplete or unavailable information in forecasting project-specific MSAT health impacts. In sum, when a highway is widened, the localized level of MSAT emissions for the Build Alternative could be higher relative to the No-Build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7E3CF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BF4" w:rsidRDefault="003A3BF4" w:rsidP="001E46B7">
      <w:pPr>
        <w:spacing w:after="0" w:line="240" w:lineRule="auto"/>
      </w:pPr>
      <w:r>
        <w:separator/>
      </w:r>
    </w:p>
  </w:endnote>
  <w:endnote w:type="continuationSeparator" w:id="0">
    <w:p w:rsidR="003A3BF4" w:rsidRDefault="003A3BF4"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7E3CF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BF4" w:rsidRDefault="003A3BF4" w:rsidP="001E46B7">
      <w:pPr>
        <w:spacing w:after="0" w:line="240" w:lineRule="auto"/>
      </w:pPr>
      <w:r>
        <w:separator/>
      </w:r>
    </w:p>
  </w:footnote>
  <w:footnote w:type="continuationSeparator" w:id="0">
    <w:p w:rsidR="003A3BF4" w:rsidRDefault="003A3BF4"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56F49"/>
    <w:rsid w:val="002735E1"/>
    <w:rsid w:val="0029639D"/>
    <w:rsid w:val="002B5149"/>
    <w:rsid w:val="002D44F4"/>
    <w:rsid w:val="0030567C"/>
    <w:rsid w:val="00310627"/>
    <w:rsid w:val="00326F90"/>
    <w:rsid w:val="00360C1D"/>
    <w:rsid w:val="003A3BF4"/>
    <w:rsid w:val="003A4904"/>
    <w:rsid w:val="003E6222"/>
    <w:rsid w:val="004D1ED4"/>
    <w:rsid w:val="004D43DB"/>
    <w:rsid w:val="00536170"/>
    <w:rsid w:val="00685390"/>
    <w:rsid w:val="00706096"/>
    <w:rsid w:val="00711234"/>
    <w:rsid w:val="007B5A24"/>
    <w:rsid w:val="007E3CFD"/>
    <w:rsid w:val="007F1D5A"/>
    <w:rsid w:val="008A330B"/>
    <w:rsid w:val="008F54DD"/>
    <w:rsid w:val="00920276"/>
    <w:rsid w:val="009C4ACA"/>
    <w:rsid w:val="009E3FB3"/>
    <w:rsid w:val="00AA1D8D"/>
    <w:rsid w:val="00B34A4F"/>
    <w:rsid w:val="00B47730"/>
    <w:rsid w:val="00B756E1"/>
    <w:rsid w:val="00BF4C6C"/>
    <w:rsid w:val="00C837A1"/>
    <w:rsid w:val="00CB0664"/>
    <w:rsid w:val="00CC77A8"/>
    <w:rsid w:val="00D04C27"/>
    <w:rsid w:val="00D35D48"/>
    <w:rsid w:val="00D66658"/>
    <w:rsid w:val="00DC1BCD"/>
    <w:rsid w:val="00E014F0"/>
    <w:rsid w:val="00E62EE6"/>
    <w:rsid w:val="00EB580F"/>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17" Type="http://schemas.openxmlformats.org/officeDocument/2006/relationships/image" Target="media/image1.jpg"/><Relationship Id="rId16" Type="http://schemas.openxmlformats.org/officeDocument/2006/relationships/theme" Target="theme/theme1.xml"/><Relationship Id="rId7" Type="http://schemas.openxmlformats.org/officeDocument/2006/relationships/footnotes" Target="footnotes.xml"/><Relationship Id="rId18" Type="http://schemas.openxmlformats.org/officeDocument/2006/relationships/image" Target="media/image2.gif"/><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FA2A-1B56-4288-BA06-7C428FE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38</cp:revision>
  <dcterms:created xsi:type="dcterms:W3CDTF">2014-05-19T20:09:00Z</dcterms:created>
  <dcterms:modified xsi:type="dcterms:W3CDTF">2015-12-18T16:21:00Z</dcterms:modified>
</cp:coreProperties>
</file>