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8F54DD" w:rsidRDefault="002B5149" w:rsidP="008F54DD">
      <w:bookmarkStart w:id="0" w:name="_GoBack"/>
      <w:bookmarkEnd w:id="0"/>
    </w:p>
    <w:p>
      <w:pPr>
        <w:pStyle w:val="Subtitle"/>
      </w:pPr>
      <w:r>
        <w:rPr>
          <w:b/>
        </w:rPr>
        <w:t>Executive Summary</w:t>
      </w:r>
    </w:p>
    <w:p>
      <w:pPr>
        <w:pStyle w:val="Subtitle"/>
      </w:pPr>
      <w:r>
        <w:rPr>
          <w:b/>
        </w:rPr>
        <w:t xml:space="preserve">Schley, </w:t>
      </w:r>
      <w:r>
        <w:rPr>
          <w:b/>
        </w:rPr>
        <w:t>PI No. 1234567</w:t>
      </w:r>
    </w:p>
    <w:p>
      <w:pPr>
        <w:pStyle w:val="Subtitle"/>
      </w:pPr>
      <w:r>
        <w:rPr>
          <w:b/>
        </w:rPr>
        <w:t>Main Street at Roberts Lane</w:t>
      </w:r>
    </w:p>
    <w:p>
      <w:pPr>
        <w:pStyle w:val="Subtitle"/>
      </w:pPr>
      <w:r>
        <w:rPr>
          <w:b/>
        </w:rPr>
        <w:t>April 2015</w:t>
      </w:r>
    </w:p>
    <w:p>
      <w:pPr>
        <w:pStyle w:val="NoSpacing"/>
      </w:pPr>
      <w:r>
        <w:rPr>
          <w:b/>
        </w:rPr>
        <w:t xml:space="preserve">Project Description: </w:t>
      </w:r>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was evaluated by an interagency group consisting of FHWA, EPA, EPD and the MPO and they agreed that this project did not appear to be a "Project of Concern" per the Transportation Conformity Rule and thus meets the statutory and regulatory requirements for PM</w:t>
      </w:r>
      <w:r>
        <w:rPr>
          <w:vertAlign w:val="subscript"/>
        </w:rPr>
        <w:t>2.5</w:t>
      </w:r>
      <w:r>
        <w:t xml:space="preserve"> hotspots without a qualitative analysis on CONCURRENCE DATE.</w:t>
      </w:r>
    </w:p>
    <w:p>
      <w:pPr>
        <w:pStyle w:val="NoSpacing"/>
      </w:pPr>
      <w:r>
        <w:rPr>
          <w:b/>
        </w:rPr>
        <w:t xml:space="preserve">CO Modeling Assumptions: </w:t>
      </w:r>
      <w:r>
        <w:t>The highest 1-hour CO concentration of 3.2 ppm in the 2038 design year is projected at receptor 8, located in the all quadrant of the studied intersection. This value is lower than the maximum allowable NAAQS for the one-hour level of 35 ppm and the 8-hour level of 9 ppm.</w:t>
      </w:r>
    </w:p>
    <w:p>
      <w:pPr>
        <w:pStyle w:val="NoSpacing"/>
      </w:pPr>
      <w:r>
        <w:rPr>
          <w:b/>
        </w:rPr>
        <w:t xml:space="preserve">MSAT: </w:t>
      </w:r>
      <w:r>
        <w:t>The proposed project is classified as a project with no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xml:space="preserve">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April 2015</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Heading2"/>
      </w:pPr>
      <w:r>
        <w:t>What Criteria Pollutants Are Studied?</w:t>
      </w:r>
    </w:p>
    <w:p>
      <w:r>
        <w:t>The NAAQS have been established for air pollutants that have been identified by the EPA as being of concern nationwide.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air toxics (MSATs). Due to their association with roadway transportation sources, O</w:t>
      </w:r>
      <w:r>
        <w:rPr>
          <w:vertAlign w:val="subscript"/>
        </w:rPr>
        <w:t>3</w:t>
      </w:r>
      <w:r>
        <w:t>, CO, PM</w:t>
      </w:r>
      <w:r>
        <w:rPr>
          <w:vertAlign w:val="subscript"/>
        </w:rPr>
        <w:t>2.5</w:t>
      </w:r>
      <w:r>
        <w:t>, and MSATs are typically reviewed for potential effects on nearby receptors with respect to roadway projects.</w:t>
      </w:r>
    </w:p>
    <w:p>
      <w:pPr>
        <w:pStyle w:val="Heading2"/>
      </w:pPr>
      <w:r>
        <w:t>Is this Project in an Ozone (O</w:t>
      </w:r>
      <w:r>
        <w:rPr>
          <w:vertAlign w:val="subscript"/>
        </w:rPr>
        <w:t>3</w:t>
      </w:r>
      <w:r>
        <w:t>) Non-Attainment Area?</w:t>
      </w:r>
    </w:p>
    <w:p>
      <w:r>
        <w:t>This project is in an area where the SIP contains transportation control measures. The CAA requires Transportation Plans and Transportation Improvement Programs (TIP) in areas not meeting the NAAQS to conform to the emissions budget of the SIP for air quality. 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(see Table 1: LOS). The LOS for signalized intersections is determined by calculating the average control delay per vehicle for the intersection, i.e., the average amount of time it takes a vehicle to get through the intersection.</w:t>
      </w:r>
    </w:p>
    <w:p>
      <w:pPr>
        <w:pStyle w:val="FigureCaption"/>
      </w:pPr>
      <w:r>
        <w:t>Table 1.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r>
        <w:t>The proposed project has Roberts Lane at Main Street signalized intersection(s) that would operate at a LOS of D, E, or F in the 2038 design year.</w:t>
      </w:r>
    </w:p>
    <w:p>
      <w:r>
        <w:t>The intersection of Roberts Lane at Main Street has the highest traffic volume at the worst level of service (See Table 2: Signalized Intersections.) Therefore, this intersection has been chosen as a representative intersection. The results of this intersection are considered the worst case for the project corridor.</w:t>
      </w:r>
    </w:p>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"worst-case" analysis. The term "worst-case" is frequently used in air quality impact analyses. The approach is to use a set of "worst-case" meteorological conditions: lowest realistic wind speed, worst reasonable stability class, lowest reasonable temperature, highest expected traffic volumes, emissions associated with peak speeds and closest reasonable receptor locations. If the "worst-case"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(95% passenger cars; 2.5% heavy trucks; 2.5% medium trucks), design year (2038), road type (urban unrestricted access), and speed limit (15-40 MPH). All emissions factors were based on temperatures under 70 degrees in the 13-county region. See Attachment X for emission factor worksheets.</w:t>
      </w:r>
    </w:p>
    <w:p>
      <w:r>
        <w:t>Meteorological inputs to the CAL3QHC model were those that would give the worst-case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See Table 3: Surface Roughness Lengths for Various Land Uses below. All roadway segments were modeled as at-grade facilities. Peak PM hourly traffic volumes were used as the worst-case conditions for the one-hour analysis.</w:t>
      </w:r>
    </w:p>
    <w:p>
      <w:r>
        <w:t>The background concentration is usually defined as the concentration immediately upwind of the source. Through an agreement with the Georgia EPA, background CO concentration is considered to be only a small portion of the total input to the micro scale analysis. A background concentration of 1 ppm is added for rural areas, 2 ppm for suburban areas, and 3 ppm for urban areas. A background concentration of 2 ppm has been added to the air quality dispersion modeling results. The intersection Roberts Lane at Main Street was analyzed for the 2038 build and no-build alternatives. See Attachment X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3: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2038 build and no-build were predicted and are listed below in Table 4: Predicted Highest One-Hour CO concentrations (ppm). A copy of the model run data input and outputs are included in Attachment X. The highest 1-hour CO concentration of 3.2 in the 2038 design year is projected at receptor 8, located in the all quadrant of the studied intersection. This value is lower than the maximum allowable NAAQS for the one-hour level of 35 ppm and the eight-hour level of 9 ppm. Since the highest one hour concentration is lower than both the one hour and eight hour standards, an eight 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drawing>
                <wp:inline xmlns:a="http://schemas.openxmlformats.org/drawingml/2006/main" xmlns:pic="http://schemas.openxmlformats.org/drawingml/2006/picture">
                  <wp:extent cx="3035808" cy="2999624"/>
                  <wp:docPr id="1" name="Picture 1"/>
                  <wp:cNvGraphicFramePr>
                    <a:graphicFrameLocks noChangeAspect="1"/>
                  </wp:cNvGraphicFramePr>
                  <a:graphic>
                    <a:graphicData uri="http://schemas.openxmlformats.org/drawingml/2006/picture">
                      <pic:pic>
                        <pic:nvPicPr>
                          <pic:cNvPr id="0" name="existing.png"/>
                          <pic:cNvPicPr/>
                        </pic:nvPicPr>
                        <pic:blipFill>
                          <a:blip r:embed="rId17"/>
                          <a:stretch>
                            <a:fillRect/>
                          </a:stretch>
                        </pic:blipFill>
                        <pic:spPr>
                          <a:xfrm>
                            <a:off x="0" y="0"/>
                            <a:ext cx="3035808" cy="2999624"/>
                          </a:xfrm>
                          <a:prstGeom prst="rect"/>
                        </pic:spPr>
                      </pic:pic>
                    </a:graphicData>
                  </a:graphic>
                </wp:inline>
              </w:drawing>
            </w:r>
            <w:r>
              <w:t>Figure 2. Existing/NoBuild</w:t>
            </w:r>
          </w:p>
        </w:tc>
        <w:tc>
          <w:tcPr>
            <w:tcW w:type="dxa" w:w="4680"/>
          </w:tcPr>
          <w:p>
            <w:pPr>
              <w:pStyle w:val="TblCentered"/>
            </w:pPr>
            <w:r>
              <w:drawing>
                <wp:inline xmlns:a="http://schemas.openxmlformats.org/drawingml/2006/main" xmlns:pic="http://schemas.openxmlformats.org/drawingml/2006/picture">
                  <wp:extent cx="3035808" cy="3035808"/>
                  <wp:docPr id="2" name="Picture 2"/>
                  <wp:cNvGraphicFramePr>
                    <a:graphicFrameLocks noChangeAspect="1"/>
                  </wp:cNvGraphicFramePr>
                  <a:graphic>
                    <a:graphicData uri="http://schemas.openxmlformats.org/drawingml/2006/picture">
                      <pic:pic>
                        <pic:nvPicPr>
                          <pic:cNvPr id="0" name="build.png"/>
                          <pic:cNvPicPr/>
                        </pic:nvPicPr>
                        <pic:blipFill>
                          <a:blip r:embed="rId18"/>
                          <a:stretch>
                            <a:fillRect/>
                          </a:stretch>
                        </pic:blipFill>
                        <pic:spPr>
                          <a:xfrm>
                            <a:off x="0" y="0"/>
                            <a:ext cx="3035808" cy="3035808"/>
                          </a:xfrm>
                          <a:prstGeom prst="rect"/>
                        </pic:spPr>
                      </pic:pic>
                    </a:graphicData>
                  </a:graphic>
                </wp:inline>
              </w:drawing>
            </w:r>
            <w:r>
              <w:t>Figure 3. Build</w:t>
            </w:r>
          </w:p>
        </w:tc>
      </w:tr>
    </w:tbl>
    <w:p>
      <w:pPr>
        <w:pStyle w:val="FigureCaption"/>
      </w:pPr>
      <w:r>
        <w:t>Table 4: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12.8</w:t>
            </w:r>
          </w:p>
        </w:tc>
        <w:tc>
          <w:tcPr>
            <w:tcW w:type="dxa" w:w="2340"/>
          </w:tcPr>
          <w:p>
            <w:pPr>
              <w:pStyle w:val="TblCentered"/>
            </w:pPr>
            <w:r>
              <w:t>12.8</w:t>
            </w:r>
          </w:p>
        </w:tc>
        <w:tc>
          <w:tcPr>
            <w:tcW w:type="dxa" w:w="2340"/>
          </w:tcPr>
          <w:p>
            <w:pPr>
              <w:pStyle w:val="TblCentered"/>
            </w:pPr>
            <w:r>
              <w:t>12.8</w:t>
            </w:r>
          </w:p>
        </w:tc>
      </w:tr>
      <w:tr>
        <w:tc>
          <w:tcPr>
            <w:tcW w:type="dxa" w:w="2340"/>
          </w:tcPr>
          <w:p>
            <w:pPr>
              <w:pStyle w:val="TblCentered"/>
            </w:pPr>
            <w:r>
              <w:t>Receptor 2</w:t>
            </w:r>
          </w:p>
        </w:tc>
        <w:tc>
          <w:tcPr>
            <w:tcW w:type="dxa" w:w="2340"/>
          </w:tcPr>
          <w:p>
            <w:pPr>
              <w:pStyle w:val="TblCentered"/>
            </w:pPr>
            <w:r>
              <w:t>13.6</w:t>
            </w:r>
          </w:p>
        </w:tc>
        <w:tc>
          <w:tcPr>
            <w:tcW w:type="dxa" w:w="2340"/>
          </w:tcPr>
          <w:p>
            <w:pPr>
              <w:pStyle w:val="TblCentered"/>
            </w:pPr>
            <w:r>
              <w:t>13.6</w:t>
            </w:r>
          </w:p>
        </w:tc>
        <w:tc>
          <w:tcPr>
            <w:tcW w:type="dxa" w:w="2340"/>
          </w:tcPr>
          <w:p>
            <w:pPr>
              <w:pStyle w:val="TblCentered"/>
            </w:pPr>
            <w:r>
              <w:t>13.6</w:t>
            </w:r>
          </w:p>
        </w:tc>
      </w:tr>
      <w:tr>
        <w:tc>
          <w:tcPr>
            <w:tcW w:type="dxa" w:w="2340"/>
          </w:tcPr>
          <w:p>
            <w:pPr>
              <w:pStyle w:val="TblCentered"/>
            </w:pPr>
            <w:r>
              <w:t>Receptor 3</w:t>
            </w:r>
          </w:p>
        </w:tc>
        <w:tc>
          <w:tcPr>
            <w:tcW w:type="dxa" w:w="2340"/>
          </w:tcPr>
          <w:p>
            <w:pPr>
              <w:pStyle w:val="TblCentered"/>
            </w:pPr>
            <w:r>
              <w:t>13.4</w:t>
            </w:r>
          </w:p>
        </w:tc>
        <w:tc>
          <w:tcPr>
            <w:tcW w:type="dxa" w:w="2340"/>
          </w:tcPr>
          <w:p>
            <w:pPr>
              <w:pStyle w:val="TblCentered"/>
            </w:pPr>
            <w:r>
              <w:t>13.4</w:t>
            </w:r>
          </w:p>
        </w:tc>
        <w:tc>
          <w:tcPr>
            <w:tcW w:type="dxa" w:w="2340"/>
          </w:tcPr>
          <w:p>
            <w:pPr>
              <w:pStyle w:val="TblCentered"/>
            </w:pPr>
            <w:r>
              <w:t>13.4</w:t>
            </w:r>
          </w:p>
        </w:tc>
      </w:tr>
      <w:tr>
        <w:tc>
          <w:tcPr>
            <w:tcW w:type="dxa" w:w="2340"/>
          </w:tcPr>
          <w:p>
            <w:pPr>
              <w:pStyle w:val="TblCentered"/>
            </w:pPr>
            <w:r>
              <w:t>Receptor 4</w:t>
            </w:r>
          </w:p>
        </w:tc>
        <w:tc>
          <w:tcPr>
            <w:tcW w:type="dxa" w:w="2340"/>
          </w:tcPr>
          <w:p>
            <w:pPr>
              <w:pStyle w:val="TblCentered"/>
            </w:pPr>
            <w:r>
              <w:t>11.4</w:t>
            </w:r>
          </w:p>
        </w:tc>
        <w:tc>
          <w:tcPr>
            <w:tcW w:type="dxa" w:w="2340"/>
          </w:tcPr>
          <w:p>
            <w:pPr>
              <w:pStyle w:val="TblCentered"/>
            </w:pPr>
            <w:r>
              <w:t>11.4</w:t>
            </w:r>
          </w:p>
        </w:tc>
        <w:tc>
          <w:tcPr>
            <w:tcW w:type="dxa" w:w="2340"/>
          </w:tcPr>
          <w:p>
            <w:pPr>
              <w:pStyle w:val="TblCentered"/>
            </w:pPr>
            <w:r>
              <w:t>11.4</w:t>
            </w:r>
          </w:p>
        </w:tc>
      </w:tr>
      <w:tr>
        <w:tc>
          <w:tcPr>
            <w:tcW w:type="dxa" w:w="2340"/>
          </w:tcPr>
          <w:p>
            <w:pPr>
              <w:pStyle w:val="TblCentered"/>
            </w:pPr>
            <w:r>
              <w:t>Receptor 5</w:t>
            </w:r>
          </w:p>
        </w:tc>
        <w:tc>
          <w:tcPr>
            <w:tcW w:type="dxa" w:w="2340"/>
          </w:tcPr>
          <w:p>
            <w:pPr>
              <w:pStyle w:val="TblCentered"/>
            </w:pPr>
            <w:r>
              <w:t>11.8</w:t>
            </w:r>
          </w:p>
        </w:tc>
        <w:tc>
          <w:tcPr>
            <w:tcW w:type="dxa" w:w="2340"/>
          </w:tcPr>
          <w:p>
            <w:pPr>
              <w:pStyle w:val="TblCentered"/>
            </w:pPr>
            <w:r>
              <w:t>11.8</w:t>
            </w:r>
          </w:p>
        </w:tc>
        <w:tc>
          <w:tcPr>
            <w:tcW w:type="dxa" w:w="2340"/>
          </w:tcPr>
          <w:p>
            <w:pPr>
              <w:pStyle w:val="TblCentered"/>
            </w:pPr>
            <w:r>
              <w:t>11.8</w:t>
            </w:r>
          </w:p>
        </w:tc>
      </w:tr>
      <w:tr>
        <w:tc>
          <w:tcPr>
            <w:tcW w:type="dxa" w:w="2340"/>
          </w:tcPr>
          <w:p>
            <w:pPr>
              <w:pStyle w:val="TblCentered"/>
            </w:pPr>
            <w:r>
              <w:t>Receptor 6</w:t>
            </w:r>
          </w:p>
        </w:tc>
        <w:tc>
          <w:tcPr>
            <w:tcW w:type="dxa" w:w="2340"/>
          </w:tcPr>
          <w:p>
            <w:pPr>
              <w:pStyle w:val="TblCentered"/>
            </w:pPr>
            <w:r>
              <w:t>8.9</w:t>
            </w:r>
          </w:p>
        </w:tc>
        <w:tc>
          <w:tcPr>
            <w:tcW w:type="dxa" w:w="2340"/>
          </w:tcPr>
          <w:p>
            <w:pPr>
              <w:pStyle w:val="TblCentered"/>
            </w:pPr>
            <w:r>
              <w:t>8.9</w:t>
            </w:r>
          </w:p>
        </w:tc>
        <w:tc>
          <w:tcPr>
            <w:tcW w:type="dxa" w:w="2340"/>
          </w:tcPr>
          <w:p>
            <w:pPr>
              <w:pStyle w:val="TblCentered"/>
            </w:pPr>
            <w:r>
              <w:t>8.9</w:t>
            </w:r>
          </w:p>
        </w:tc>
      </w:tr>
      <w:tr>
        <w:tc>
          <w:tcPr>
            <w:tcW w:type="dxa" w:w="2340"/>
          </w:tcPr>
          <w:p>
            <w:pPr>
              <w:pStyle w:val="TblCentered"/>
            </w:pPr>
            <w:r>
              <w:t>Receptor 7</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r>
        <w:tc>
          <w:tcPr>
            <w:tcW w:type="dxa" w:w="2340"/>
          </w:tcPr>
          <w:p>
            <w:pPr>
              <w:pStyle w:val="TblCentered"/>
            </w:pPr>
            <w:r>
              <w:t>Receptor 8</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Federal Highway Administration (FHWA), EPA, Georgia Department of Natural Resources Environmental Protection Division (GA EPD), and the MPO and they agreed that these projects do NOT appear to be "Projects of Concern" per the Transportation Conformity Rule and thus meet the statutory and regulatory requirements for PM</w:t>
      </w:r>
      <w:r>
        <w:rPr>
          <w:vertAlign w:val="subscript"/>
        </w:rPr>
        <w:t>2.5</w:t>
      </w:r>
      <w:r>
        <w:t xml:space="preserve"> hotspots without a qualitative analysis on CONCURRENCE DATE. Documentation and correspondence are included in Attachment 2.</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1,3-butidiene,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3" name="Picture 3"/>
            <wp:cNvGraphicFramePr>
              <a:graphicFrameLocks noChangeAspect="1"/>
            </wp:cNvGraphicFramePr>
            <a:graphic>
              <a:graphicData uri="http://schemas.openxmlformats.org/drawingml/2006/picture">
                <pic:pic>
                  <pic:nvPicPr>
                    <pic:cNvPr id="0" name="MOVES_Graphic.gif"/>
                    <pic:cNvPicPr/>
                  </pic:nvPicPr>
                  <pic:blipFill>
                    <a:blip r:embed="rId19"/>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the vehicle miles traveled, or VMT, assuming that other variables such as fleet mix are the same for each alternative. The VMT estimated for the Build Alternatives is the same as that of the No Build Alternative (refer to Table 2). The emissions increase is offset somewhat by lower MSAT emission rates due to increased speeds; according to EPA's MOVES2010b model, emissions of all of the priority MSAT decrease as speed increases.</w:t>
      </w:r>
    </w:p>
    <w:tbl>
      <w:tblPr>
        <w:tblStyle w:val="LightShading"/>
        <w:tblW w:type="auto" w:w="0"/>
        <w:tblLook w:firstColumn="1" w:firstRow="1" w:lastColumn="0" w:lastRow="0" w:noHBand="0" w:noVBand="1" w:val="04A0"/>
      </w:tblPr>
      <w:tblGrid>
        <w:gridCol w:w="1560"/>
        <w:gridCol w:w="1560"/>
        <w:gridCol w:w="1560"/>
        <w:gridCol w:w="1560"/>
        <w:gridCol w:w="1560"/>
        <w:gridCol w:w="1560"/>
      </w:tblGrid>
      <w:tr>
        <w:tc>
          <w:tcPr>
            <w:tcW w:type="dxa" w:w="1560"/>
          </w:tcPr>
          <w:p>
            <w:r>
              <w:t>Roadway</w:t>
            </w:r>
          </w:p>
        </w:tc>
        <w:tc>
          <w:tcPr>
            <w:tcW w:type="dxa" w:w="1560"/>
          </w:tcPr>
          <w:p>
            <w:r>
              <w:t>Roadway Length (Miles)</w:t>
            </w:r>
          </w:p>
        </w:tc>
        <w:tc>
          <w:tcPr>
            <w:tcW w:type="dxa" w:w="1560"/>
          </w:tcPr>
          <w:p>
            <w:r/>
          </w:p>
        </w:tc>
        <w:tc>
          <w:tcPr>
            <w:tcW w:type="dxa" w:w="1560"/>
          </w:tcPr>
          <w:p>
            <w:r>
              <w:t>Existing</w:t>
            </w:r>
          </w:p>
        </w:tc>
        <w:tc>
          <w:tcPr>
            <w:tcW w:type="dxa" w:w="1560"/>
          </w:tcPr>
          <w:p>
            <w:r>
              <w:t>No Build</w:t>
            </w:r>
          </w:p>
        </w:tc>
        <w:tc>
          <w:tcPr>
            <w:tcW w:type="dxa" w:w="1560"/>
          </w:tcPr>
          <w:p>
            <w:r>
              <w:t>Build</w:t>
            </w:r>
          </w:p>
        </w:tc>
      </w:tr>
      <w:tr>
        <w:tc>
          <w:tcPr>
            <w:tcW w:type="dxa" w:w="1560"/>
            <w:vMerge w:val="restart"/>
          </w:tcPr>
          <w:p>
            <w:r>
              <w:t>Peachtree Road/SR 134</w:t>
            </w:r>
          </w:p>
        </w:tc>
        <w:tc>
          <w:tcPr>
            <w:tcW w:type="dxa" w:w="1560"/>
            <w:vMerge w:val="restart"/>
          </w:tcPr>
          <w:p>
            <w:r>
              <w:t>1.7</w:t>
            </w:r>
          </w:p>
        </w:tc>
        <w:tc>
          <w:tcPr>
            <w:tcW w:type="dxa" w:w="1560"/>
          </w:tcPr>
          <w:p>
            <w:r>
              <w:t>ADT</w:t>
            </w:r>
          </w:p>
        </w:tc>
        <w:tc>
          <w:tcPr>
            <w:tcW w:type="dxa" w:w="1560"/>
          </w:tcPr>
          <w:p>
            <w:r>
              <w:t>78,545</w:t>
            </w:r>
          </w:p>
        </w:tc>
        <w:tc>
          <w:tcPr>
            <w:tcW w:type="dxa" w:w="1560"/>
          </w:tcPr>
          <w:p>
            <w:r>
              <w:t>101,993</w:t>
            </w:r>
          </w:p>
        </w:tc>
        <w:tc>
          <w:tcPr>
            <w:tcW w:type="dxa" w:w="1560"/>
          </w:tcPr>
          <w:p>
            <w:r>
              <w:t>112,330</w:t>
            </w:r>
          </w:p>
        </w:tc>
      </w:tr>
      <w:tr>
        <w:tc>
          <w:tcPr>
            <w:tcW w:type="dxa" w:w="1560"/>
            <w:vMerge/>
          </w:tcPr>
          <w:p/>
        </w:tc>
        <w:tc>
          <w:tcPr>
            <w:tcW w:type="dxa" w:w="1560"/>
            <w:vMerge/>
          </w:tcPr>
          <w:p/>
        </w:tc>
        <w:tc>
          <w:tcPr>
            <w:tcW w:type="dxa" w:w="1560"/>
          </w:tcPr>
          <w:p>
            <w:r>
              <w:t>VMT</w:t>
            </w:r>
          </w:p>
        </w:tc>
        <w:tc>
          <w:tcPr>
            <w:tcW w:type="dxa" w:w="1560"/>
          </w:tcPr>
          <w:p>
            <w:r>
              <w:t>133,527</w:t>
            </w:r>
          </w:p>
        </w:tc>
        <w:tc>
          <w:tcPr>
            <w:tcW w:type="dxa" w:w="1560"/>
          </w:tcPr>
          <w:p>
            <w:r>
              <w:t>173,389</w:t>
            </w:r>
          </w:p>
        </w:tc>
        <w:tc>
          <w:tcPr>
            <w:tcW w:type="dxa" w:w="1560"/>
          </w:tcPr>
          <w:p>
            <w:r>
              <w:t>190,961</w:t>
            </w:r>
          </w:p>
        </w:tc>
      </w:tr>
    </w:tbl>
    <w:p>
      <w:r>
        <w:t>The estimated VMT under the Build Alternative is expected to be the same as that of the No 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 Build Alternative. The localized increases in MSAT concentrations would likely be most pronounced along the sections of Roberts Lane.. However, the magnitude and the duration of these potential increases compared to the No Build alternative cannot be reliably quantified due to incomplete or unavailable information in forecasting project-specific MSAT health impacts. In sum, when a highway is widened, the localized level of MSAT emissions for the Build Alternative could be higher relative to the No 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8F54D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B7" w:rsidRDefault="001E46B7" w:rsidP="001E46B7">
      <w:pPr>
        <w:spacing w:after="0" w:line="240" w:lineRule="auto"/>
      </w:pPr>
      <w:r>
        <w:separator/>
      </w:r>
    </w:p>
  </w:endnote>
  <w:endnote w:type="continuationSeparator" w:id="0">
    <w:p w:rsidR="001E46B7" w:rsidRDefault="001E46B7"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8F54D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B7" w:rsidRDefault="001E46B7" w:rsidP="001E46B7">
      <w:pPr>
        <w:spacing w:after="0" w:line="240" w:lineRule="auto"/>
      </w:pPr>
      <w:r>
        <w:separator/>
      </w:r>
    </w:p>
  </w:footnote>
  <w:footnote w:type="continuationSeparator" w:id="0">
    <w:p w:rsidR="001E46B7" w:rsidRDefault="001E46B7"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9639D"/>
    <w:rsid w:val="002B5149"/>
    <w:rsid w:val="002D44F4"/>
    <w:rsid w:val="00326F90"/>
    <w:rsid w:val="00360C1D"/>
    <w:rsid w:val="003A4904"/>
    <w:rsid w:val="003E6222"/>
    <w:rsid w:val="004D1ED4"/>
    <w:rsid w:val="004D43DB"/>
    <w:rsid w:val="00685390"/>
    <w:rsid w:val="00706096"/>
    <w:rsid w:val="00711234"/>
    <w:rsid w:val="007B5A24"/>
    <w:rsid w:val="008A330B"/>
    <w:rsid w:val="008F54DD"/>
    <w:rsid w:val="00920276"/>
    <w:rsid w:val="009C4ACA"/>
    <w:rsid w:val="009E3FB3"/>
    <w:rsid w:val="00AA1D8D"/>
    <w:rsid w:val="00B47730"/>
    <w:rsid w:val="00B756E1"/>
    <w:rsid w:val="00BF4C6C"/>
    <w:rsid w:val="00C837A1"/>
    <w:rsid w:val="00CB0664"/>
    <w:rsid w:val="00CC77A8"/>
    <w:rsid w:val="00D04C27"/>
    <w:rsid w:val="00D66658"/>
    <w:rsid w:val="00DC1BCD"/>
    <w:rsid w:val="00E014F0"/>
    <w:rsid w:val="00E62EE6"/>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17" Type="http://schemas.openxmlformats.org/officeDocument/2006/relationships/image" Target="media/image1.pn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gif"/><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FBE0-2948-45D1-A830-CDFCB90A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31</cp:revision>
  <dcterms:created xsi:type="dcterms:W3CDTF">2014-05-19T20:09:00Z</dcterms:created>
  <dcterms:modified xsi:type="dcterms:W3CDTF">2015-04-02T17:32:00Z</dcterms:modified>
</cp:coreProperties>
</file>